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1F8" w:rsidRDefault="00617DB3">
      <w:pPr>
        <w:pStyle w:val="a5"/>
        <w:spacing w:line="560" w:lineRule="exact"/>
        <w:ind w:left="0" w:firstLine="0"/>
      </w:pPr>
      <w:bookmarkStart w:id="0" w:name="_GoBack"/>
      <w:r>
        <w:rPr>
          <w:rFonts w:eastAsia="標楷體"/>
          <w:sz w:val="40"/>
        </w:rPr>
        <w:t>金門地區偶蹄類動物及其產品禁止輸往臺灣本島及其他離島修正規定</w:t>
      </w:r>
    </w:p>
    <w:bookmarkEnd w:id="0"/>
    <w:p w:rsidR="002F41F8" w:rsidRDefault="00617DB3">
      <w:pPr>
        <w:pStyle w:val="a5"/>
        <w:spacing w:line="480" w:lineRule="exact"/>
        <w:ind w:left="640" w:hanging="640"/>
      </w:pPr>
      <w:r>
        <w:rPr>
          <w:rFonts w:eastAsia="標楷體"/>
          <w:sz w:val="32"/>
        </w:rPr>
        <w:t>一</w:t>
      </w:r>
      <w:r>
        <w:rPr>
          <w:rFonts w:ascii="新細明體" w:hAnsi="新細明體"/>
          <w:sz w:val="32"/>
        </w:rPr>
        <w:t>、</w:t>
      </w:r>
      <w:r>
        <w:rPr>
          <w:rFonts w:eastAsia="標楷體"/>
          <w:sz w:val="32"/>
        </w:rPr>
        <w:t>本措施依動物傳染病防治條例第二十八條第一項第一款規定訂定之。</w:t>
      </w:r>
    </w:p>
    <w:p w:rsidR="002F41F8" w:rsidRDefault="00617DB3">
      <w:pPr>
        <w:pStyle w:val="a5"/>
        <w:spacing w:line="480" w:lineRule="exact"/>
        <w:ind w:left="640" w:hanging="640"/>
      </w:pPr>
      <w:r>
        <w:rPr>
          <w:rFonts w:eastAsia="標楷體"/>
          <w:sz w:val="32"/>
        </w:rPr>
        <w:t>二</w:t>
      </w:r>
      <w:r>
        <w:rPr>
          <w:rFonts w:ascii="新細明體" w:hAnsi="新細明體"/>
          <w:sz w:val="32"/>
        </w:rPr>
        <w:t>、</w:t>
      </w:r>
      <w:r>
        <w:rPr>
          <w:rFonts w:eastAsia="標楷體"/>
          <w:sz w:val="32"/>
        </w:rPr>
        <w:t>本措施指定區域：金門地區。</w:t>
      </w:r>
    </w:p>
    <w:p w:rsidR="002F41F8" w:rsidRDefault="00617DB3">
      <w:pPr>
        <w:pStyle w:val="a5"/>
        <w:spacing w:line="480" w:lineRule="exact"/>
        <w:ind w:left="640" w:hanging="640"/>
      </w:pPr>
      <w:r>
        <w:rPr>
          <w:rFonts w:eastAsia="標楷體"/>
          <w:sz w:val="32"/>
        </w:rPr>
        <w:t>三</w:t>
      </w:r>
      <w:r>
        <w:rPr>
          <w:rFonts w:ascii="新細明體" w:hAnsi="新細明體"/>
          <w:sz w:val="32"/>
        </w:rPr>
        <w:t>、</w:t>
      </w:r>
      <w:r>
        <w:rPr>
          <w:rFonts w:eastAsia="標楷體"/>
          <w:sz w:val="32"/>
        </w:rPr>
        <w:t>本措施指定期間：自即日起至中華民國一百十三年十二月三十一日止。</w:t>
      </w:r>
    </w:p>
    <w:p w:rsidR="002F41F8" w:rsidRDefault="00617DB3">
      <w:pPr>
        <w:pStyle w:val="-cjk"/>
        <w:spacing w:before="0" w:line="480" w:lineRule="exact"/>
        <w:ind w:left="641" w:hanging="641"/>
      </w:pPr>
      <w:r>
        <w:rPr>
          <w:rFonts w:ascii="標楷體" w:eastAsia="標楷體" w:hAnsi="標楷體"/>
          <w:sz w:val="32"/>
          <w:szCs w:val="32"/>
        </w:rPr>
        <w:t>四、本措施指定禁止輸送之動物種類及停止搬運之物品：偶蹄類動物</w:t>
      </w:r>
      <w:proofErr w:type="gramStart"/>
      <w:r>
        <w:rPr>
          <w:rFonts w:ascii="標楷體" w:eastAsia="標楷體" w:hAnsi="標楷體"/>
          <w:sz w:val="32"/>
          <w:szCs w:val="32"/>
        </w:rPr>
        <w:t>與其屠體</w:t>
      </w:r>
      <w:proofErr w:type="gramEnd"/>
      <w:r>
        <w:rPr>
          <w:rFonts w:ascii="標楷體" w:eastAsia="標楷體" w:hAnsi="標楷體"/>
          <w:sz w:val="32"/>
          <w:szCs w:val="32"/>
        </w:rPr>
        <w:t>、內臟、生鮮及加工產品，禁止輸送至臺灣本島及其他離島。但下列肉</w:t>
      </w:r>
      <w:proofErr w:type="gramStart"/>
      <w:r>
        <w:rPr>
          <w:rFonts w:ascii="標楷體" w:eastAsia="標楷體" w:hAnsi="標楷體"/>
          <w:sz w:val="32"/>
          <w:szCs w:val="32"/>
        </w:rPr>
        <w:t>品或肉品</w:t>
      </w:r>
      <w:proofErr w:type="gramEnd"/>
      <w:r>
        <w:rPr>
          <w:rFonts w:ascii="標楷體" w:eastAsia="標楷體" w:hAnsi="標楷體"/>
          <w:sz w:val="32"/>
          <w:szCs w:val="32"/>
        </w:rPr>
        <w:t>加工產品，不在此限：</w:t>
      </w:r>
    </w:p>
    <w:p w:rsidR="002F41F8" w:rsidRDefault="00617DB3">
      <w:pPr>
        <w:pStyle w:val="-cjk"/>
        <w:spacing w:before="0" w:line="480" w:lineRule="exact"/>
        <w:ind w:left="1276" w:hanging="641"/>
      </w:pPr>
      <w:r>
        <w:rPr>
          <w:rFonts w:ascii="標楷體" w:eastAsia="標楷體" w:hAnsi="標楷體"/>
          <w:sz w:val="32"/>
          <w:szCs w:val="32"/>
        </w:rPr>
        <w:t>(</w:t>
      </w:r>
      <w:proofErr w:type="gramStart"/>
      <w:r>
        <w:rPr>
          <w:rFonts w:ascii="標楷體" w:eastAsia="標楷體" w:hAnsi="標楷體"/>
          <w:sz w:val="32"/>
          <w:szCs w:val="32"/>
        </w:rPr>
        <w:t>一</w:t>
      </w:r>
      <w:proofErr w:type="gramEnd"/>
      <w:r>
        <w:rPr>
          <w:rFonts w:ascii="標楷體" w:eastAsia="標楷體" w:hAnsi="標楷體"/>
          <w:sz w:val="32"/>
          <w:szCs w:val="32"/>
        </w:rPr>
        <w:t>)肉品加工產品符合下列條件之一者：</w:t>
      </w:r>
    </w:p>
    <w:p w:rsidR="002F41F8" w:rsidRDefault="00617DB3">
      <w:pPr>
        <w:pStyle w:val="-cjk"/>
        <w:spacing w:before="0" w:line="480" w:lineRule="exact"/>
        <w:ind w:left="1701" w:hanging="357"/>
      </w:pPr>
      <w:r>
        <w:rPr>
          <w:rFonts w:ascii="標楷體" w:eastAsia="標楷體" w:hAnsi="標楷體"/>
          <w:sz w:val="32"/>
          <w:szCs w:val="32"/>
        </w:rPr>
        <w:t>1.</w:t>
      </w:r>
      <w:r>
        <w:rPr>
          <w:rFonts w:ascii="標楷體" w:eastAsia="標楷體" w:hAnsi="標楷體"/>
          <w:sz w:val="32"/>
          <w:szCs w:val="32"/>
        </w:rPr>
        <w:tab/>
        <w:t>偶蹄類動物肉及雜碎</w:t>
      </w:r>
      <w:proofErr w:type="gramStart"/>
      <w:r>
        <w:rPr>
          <w:rFonts w:ascii="標楷體" w:eastAsia="標楷體" w:hAnsi="標楷體"/>
          <w:sz w:val="32"/>
          <w:szCs w:val="32"/>
        </w:rPr>
        <w:t>占總固形</w:t>
      </w:r>
      <w:proofErr w:type="gramEnd"/>
      <w:r>
        <w:rPr>
          <w:rFonts w:ascii="標楷體" w:eastAsia="標楷體" w:hAnsi="標楷體"/>
          <w:sz w:val="32"/>
          <w:szCs w:val="32"/>
        </w:rPr>
        <w:t>物未達50%，且經連續三十分鐘70℃以上或連續三分鐘100℃以上加熱處理。</w:t>
      </w:r>
    </w:p>
    <w:p w:rsidR="002F41F8" w:rsidRDefault="00617DB3">
      <w:pPr>
        <w:pStyle w:val="-cjk"/>
        <w:spacing w:before="0" w:line="480" w:lineRule="exact"/>
        <w:ind w:left="1701" w:hanging="357"/>
      </w:pPr>
      <w:r>
        <w:rPr>
          <w:rFonts w:ascii="標楷體" w:eastAsia="標楷體" w:hAnsi="標楷體"/>
          <w:sz w:val="32"/>
          <w:szCs w:val="32"/>
        </w:rPr>
        <w:t>2.</w:t>
      </w:r>
      <w:r>
        <w:rPr>
          <w:rFonts w:ascii="標楷體" w:eastAsia="標楷體" w:hAnsi="標楷體"/>
          <w:sz w:val="32"/>
          <w:szCs w:val="32"/>
        </w:rPr>
        <w:tab/>
        <w:t>偶蹄類動物肉及雜碎</w:t>
      </w:r>
      <w:proofErr w:type="gramStart"/>
      <w:r>
        <w:rPr>
          <w:rFonts w:ascii="標楷體" w:eastAsia="標楷體" w:hAnsi="標楷體"/>
          <w:sz w:val="32"/>
          <w:szCs w:val="32"/>
        </w:rPr>
        <w:t>占總固形</w:t>
      </w:r>
      <w:proofErr w:type="gramEnd"/>
      <w:r>
        <w:rPr>
          <w:rFonts w:ascii="標楷體" w:eastAsia="標楷體" w:hAnsi="標楷體"/>
          <w:sz w:val="32"/>
          <w:szCs w:val="32"/>
        </w:rPr>
        <w:t>物50%以上，經去骨、去脂肪，連續三十分鐘70℃以上或連續三分鐘100℃以上之加熱處理，有適當包裝且經查核無交叉污染之牛、豬肉乾及其他肉品加工產品。</w:t>
      </w:r>
    </w:p>
    <w:p w:rsidR="002F41F8" w:rsidRDefault="00617DB3">
      <w:pPr>
        <w:pStyle w:val="-cjk"/>
        <w:spacing w:before="0" w:line="480" w:lineRule="exact"/>
        <w:ind w:left="1701" w:hanging="357"/>
      </w:pPr>
      <w:r>
        <w:rPr>
          <w:rFonts w:ascii="標楷體" w:eastAsia="標楷體" w:hAnsi="標楷體"/>
          <w:sz w:val="32"/>
          <w:szCs w:val="32"/>
        </w:rPr>
        <w:t>3.</w:t>
      </w:r>
      <w:r>
        <w:rPr>
          <w:rFonts w:ascii="標楷體" w:eastAsia="標楷體" w:hAnsi="標楷體"/>
          <w:sz w:val="32"/>
          <w:szCs w:val="32"/>
        </w:rPr>
        <w:tab/>
        <w:t>肉品來源或製造地為除金門地區以外之臺灣地區，且經連續三十分鐘70℃以上或連續三分鐘100℃以上之加熱處理。</w:t>
      </w:r>
    </w:p>
    <w:p w:rsidR="002F41F8" w:rsidRDefault="00617DB3">
      <w:pPr>
        <w:pStyle w:val="-cjk"/>
        <w:spacing w:before="0" w:line="480" w:lineRule="exact"/>
        <w:ind w:left="1701" w:hanging="357"/>
      </w:pPr>
      <w:r>
        <w:rPr>
          <w:rFonts w:ascii="標楷體" w:eastAsia="標楷體" w:hAnsi="標楷體"/>
          <w:sz w:val="32"/>
          <w:szCs w:val="32"/>
        </w:rPr>
        <w:t>4.</w:t>
      </w:r>
      <w:r>
        <w:rPr>
          <w:rFonts w:ascii="標楷體" w:eastAsia="標楷體" w:hAnsi="標楷體"/>
          <w:sz w:val="32"/>
          <w:szCs w:val="32"/>
        </w:rPr>
        <w:tab/>
        <w:t>金門縣政府提出申請並經本部動植物防疫檢疫</w:t>
      </w:r>
      <w:proofErr w:type="gramStart"/>
      <w:r>
        <w:rPr>
          <w:rFonts w:ascii="標楷體" w:eastAsia="標楷體" w:hAnsi="標楷體"/>
          <w:sz w:val="32"/>
          <w:szCs w:val="32"/>
        </w:rPr>
        <w:t>署口蹄疫</w:t>
      </w:r>
      <w:proofErr w:type="gramEnd"/>
      <w:r>
        <w:rPr>
          <w:rFonts w:ascii="標楷體" w:eastAsia="標楷體" w:hAnsi="標楷體"/>
          <w:sz w:val="32"/>
          <w:szCs w:val="32"/>
        </w:rPr>
        <w:t>及牛結節疹風險評估通過。</w:t>
      </w:r>
    </w:p>
    <w:p w:rsidR="002F41F8" w:rsidRDefault="00617DB3">
      <w:pPr>
        <w:pStyle w:val="-cjk"/>
        <w:spacing w:before="0" w:line="480" w:lineRule="exact"/>
        <w:ind w:left="1276" w:hanging="641"/>
      </w:pPr>
      <w:r>
        <w:rPr>
          <w:rFonts w:ascii="標楷體" w:eastAsia="標楷體" w:hAnsi="標楷體"/>
          <w:sz w:val="32"/>
          <w:szCs w:val="32"/>
        </w:rPr>
        <w:t>(二)屠體來源牛隻符合下列條件之生鮮、冷藏或冷凍牛肉。但不包括屠體之頭、腳、內臟及骨：</w:t>
      </w:r>
    </w:p>
    <w:p w:rsidR="002F41F8" w:rsidRDefault="00617DB3">
      <w:pPr>
        <w:pStyle w:val="-cjk"/>
        <w:spacing w:before="0" w:line="480" w:lineRule="exact"/>
        <w:ind w:left="1701" w:hanging="425"/>
      </w:pPr>
      <w:r>
        <w:rPr>
          <w:rFonts w:ascii="標楷體" w:eastAsia="標楷體" w:hAnsi="標楷體"/>
          <w:sz w:val="32"/>
          <w:szCs w:val="32"/>
        </w:rPr>
        <w:lastRenderedPageBreak/>
        <w:t>1.</w:t>
      </w:r>
      <w:r>
        <w:rPr>
          <w:rFonts w:ascii="標楷體" w:eastAsia="標楷體" w:hAnsi="標楷體"/>
          <w:sz w:val="32"/>
          <w:szCs w:val="32"/>
        </w:rPr>
        <w:tab/>
        <w:t>屠宰前，經金門地區畜牧場(以下簡稱來源場)飼養一年以上。</w:t>
      </w:r>
    </w:p>
    <w:p w:rsidR="002F41F8" w:rsidRDefault="00617DB3">
      <w:pPr>
        <w:pStyle w:val="-cjk"/>
        <w:spacing w:before="0" w:line="480" w:lineRule="exact"/>
        <w:ind w:left="1701" w:hanging="425"/>
      </w:pPr>
      <w:r>
        <w:rPr>
          <w:rFonts w:ascii="標楷體" w:eastAsia="標楷體" w:hAnsi="標楷體"/>
          <w:sz w:val="32"/>
          <w:szCs w:val="32"/>
        </w:rPr>
        <w:t>2.</w:t>
      </w:r>
      <w:r>
        <w:rPr>
          <w:rFonts w:ascii="標楷體" w:eastAsia="標楷體" w:hAnsi="標楷體"/>
          <w:sz w:val="32"/>
          <w:szCs w:val="32"/>
        </w:rPr>
        <w:tab/>
        <w:t>屠宰前三</w:t>
      </w:r>
      <w:proofErr w:type="gramStart"/>
      <w:r>
        <w:rPr>
          <w:rFonts w:ascii="標楷體" w:eastAsia="標楷體" w:hAnsi="標楷體"/>
          <w:sz w:val="32"/>
          <w:szCs w:val="32"/>
        </w:rPr>
        <w:t>個</w:t>
      </w:r>
      <w:proofErr w:type="gramEnd"/>
      <w:r>
        <w:rPr>
          <w:rFonts w:ascii="標楷體" w:eastAsia="標楷體" w:hAnsi="標楷體"/>
          <w:sz w:val="32"/>
          <w:szCs w:val="32"/>
        </w:rPr>
        <w:t>月內，金門地區</w:t>
      </w:r>
      <w:proofErr w:type="gramStart"/>
      <w:r>
        <w:rPr>
          <w:rFonts w:ascii="標楷體" w:eastAsia="標楷體" w:hAnsi="標楷體"/>
          <w:sz w:val="32"/>
          <w:szCs w:val="32"/>
        </w:rPr>
        <w:t>無口蹄</w:t>
      </w:r>
      <w:proofErr w:type="gramEnd"/>
      <w:r>
        <w:rPr>
          <w:rFonts w:ascii="標楷體" w:eastAsia="標楷體" w:hAnsi="標楷體"/>
          <w:sz w:val="32"/>
          <w:szCs w:val="32"/>
        </w:rPr>
        <w:t>疫案例，且來源</w:t>
      </w:r>
      <w:proofErr w:type="gramStart"/>
      <w:r>
        <w:rPr>
          <w:rFonts w:ascii="標楷體" w:eastAsia="標楷體" w:hAnsi="標楷體"/>
          <w:sz w:val="32"/>
          <w:szCs w:val="32"/>
        </w:rPr>
        <w:t>場無甲</w:t>
      </w:r>
      <w:proofErr w:type="gramEnd"/>
      <w:r>
        <w:rPr>
          <w:rFonts w:ascii="標楷體" w:eastAsia="標楷體" w:hAnsi="標楷體"/>
          <w:sz w:val="32"/>
          <w:szCs w:val="32"/>
        </w:rPr>
        <w:t>類動物傳染病案例。</w:t>
      </w:r>
    </w:p>
    <w:p w:rsidR="002F41F8" w:rsidRDefault="00617DB3">
      <w:pPr>
        <w:pStyle w:val="-cjk"/>
        <w:spacing w:before="0" w:line="480" w:lineRule="exact"/>
        <w:ind w:left="1701" w:hanging="425"/>
      </w:pPr>
      <w:r>
        <w:rPr>
          <w:rFonts w:ascii="標楷體" w:eastAsia="標楷體" w:hAnsi="標楷體"/>
          <w:sz w:val="32"/>
          <w:szCs w:val="32"/>
        </w:rPr>
        <w:t>3.</w:t>
      </w:r>
      <w:r>
        <w:rPr>
          <w:rFonts w:ascii="標楷體" w:eastAsia="標楷體" w:hAnsi="標楷體"/>
          <w:sz w:val="32"/>
          <w:szCs w:val="32"/>
        </w:rPr>
        <w:tab/>
        <w:t>來源場每三</w:t>
      </w:r>
      <w:proofErr w:type="gramStart"/>
      <w:r>
        <w:rPr>
          <w:rFonts w:ascii="標楷體" w:eastAsia="標楷體" w:hAnsi="標楷體"/>
          <w:sz w:val="32"/>
          <w:szCs w:val="32"/>
        </w:rPr>
        <w:t>個</w:t>
      </w:r>
      <w:proofErr w:type="gramEnd"/>
      <w:r>
        <w:rPr>
          <w:rFonts w:ascii="標楷體" w:eastAsia="標楷體" w:hAnsi="標楷體"/>
          <w:sz w:val="32"/>
          <w:szCs w:val="32"/>
        </w:rPr>
        <w:t>月抽檢動物血清檢測口蹄疫非結構性蛋白抗體及血清抗體，且結果應為口蹄疫非結構性蛋白抗體陰性反應及80%以上有Ｏ型口蹄疫血清抗體陽性反應。</w:t>
      </w:r>
    </w:p>
    <w:p w:rsidR="002F41F8" w:rsidRDefault="00617DB3">
      <w:pPr>
        <w:pStyle w:val="-cjk"/>
        <w:spacing w:before="0" w:line="480" w:lineRule="exact"/>
        <w:ind w:left="1701" w:hanging="425"/>
      </w:pPr>
      <w:r>
        <w:rPr>
          <w:rFonts w:ascii="標楷體" w:eastAsia="標楷體" w:hAnsi="標楷體"/>
          <w:sz w:val="32"/>
          <w:szCs w:val="32"/>
        </w:rPr>
        <w:t>4.</w:t>
      </w:r>
      <w:r>
        <w:rPr>
          <w:rFonts w:ascii="標楷體" w:eastAsia="標楷體" w:hAnsi="標楷體"/>
          <w:sz w:val="32"/>
          <w:szCs w:val="32"/>
        </w:rPr>
        <w:tab/>
        <w:t>依清除豬瘟</w:t>
      </w:r>
      <w:proofErr w:type="gramStart"/>
      <w:r>
        <w:rPr>
          <w:rFonts w:ascii="標楷體" w:eastAsia="標楷體" w:hAnsi="標楷體"/>
          <w:sz w:val="32"/>
          <w:szCs w:val="32"/>
        </w:rPr>
        <w:t>暨口蹄疫</w:t>
      </w:r>
      <w:proofErr w:type="gramEnd"/>
      <w:r>
        <w:rPr>
          <w:rFonts w:ascii="標楷體" w:eastAsia="標楷體" w:hAnsi="標楷體"/>
          <w:sz w:val="32"/>
          <w:szCs w:val="32"/>
        </w:rPr>
        <w:t>所需疫苗之種類及其管理辦法第十一條規定完成口蹄疫疫苗注射。屠宰前應經檢測血清抗體具足夠</w:t>
      </w:r>
      <w:proofErr w:type="gramStart"/>
      <w:r>
        <w:rPr>
          <w:rFonts w:ascii="標楷體" w:eastAsia="標楷體" w:hAnsi="標楷體"/>
          <w:sz w:val="32"/>
          <w:szCs w:val="32"/>
        </w:rPr>
        <w:t>保護力價</w:t>
      </w:r>
      <w:proofErr w:type="gramEnd"/>
      <w:r>
        <w:rPr>
          <w:rFonts w:ascii="標楷體" w:eastAsia="標楷體" w:hAnsi="標楷體"/>
          <w:sz w:val="32"/>
          <w:szCs w:val="32"/>
        </w:rPr>
        <w:t>。</w:t>
      </w:r>
    </w:p>
    <w:p w:rsidR="002F41F8" w:rsidRDefault="00617DB3">
      <w:pPr>
        <w:pStyle w:val="-cjk"/>
        <w:spacing w:before="0" w:line="480" w:lineRule="exact"/>
        <w:ind w:left="1701" w:hanging="425"/>
      </w:pPr>
      <w:r>
        <w:rPr>
          <w:rFonts w:ascii="標楷體" w:eastAsia="標楷體" w:hAnsi="標楷體"/>
          <w:sz w:val="32"/>
          <w:szCs w:val="32"/>
        </w:rPr>
        <w:t>5.</w:t>
      </w:r>
      <w:r>
        <w:rPr>
          <w:rFonts w:ascii="標楷體" w:eastAsia="標楷體" w:hAnsi="標楷體"/>
          <w:sz w:val="32"/>
          <w:szCs w:val="32"/>
        </w:rPr>
        <w:tab/>
        <w:t>運往屠宰前，</w:t>
      </w:r>
      <w:proofErr w:type="gramStart"/>
      <w:r>
        <w:rPr>
          <w:rFonts w:ascii="標楷體" w:eastAsia="標楷體" w:hAnsi="標楷體"/>
          <w:sz w:val="32"/>
          <w:szCs w:val="32"/>
        </w:rPr>
        <w:t>應釘掛耳標</w:t>
      </w:r>
      <w:proofErr w:type="gramEnd"/>
      <w:r>
        <w:rPr>
          <w:rFonts w:ascii="標楷體" w:eastAsia="標楷體" w:hAnsi="標楷體"/>
          <w:sz w:val="32"/>
          <w:szCs w:val="32"/>
        </w:rPr>
        <w:t>或烙印等標識，並於來源場或金門縣政府公告指定之隔離場所（以下簡稱指定隔離場所）內，隔離飼養檢查三十日以上，隔離期間不得引入口蹄疫感受性動物。隔離滿二十八日後，經金門縣政府</w:t>
      </w:r>
      <w:proofErr w:type="gramStart"/>
      <w:r>
        <w:rPr>
          <w:rFonts w:ascii="標楷體" w:eastAsia="標楷體" w:hAnsi="標楷體"/>
          <w:sz w:val="32"/>
          <w:szCs w:val="32"/>
        </w:rPr>
        <w:t>派員逐頭檢查</w:t>
      </w:r>
      <w:proofErr w:type="gramEnd"/>
      <w:r>
        <w:rPr>
          <w:rFonts w:ascii="標楷體" w:eastAsia="標楷體" w:hAnsi="標楷體"/>
          <w:sz w:val="32"/>
          <w:szCs w:val="32"/>
        </w:rPr>
        <w:t>健康情形良好，並採取檢體進行病毒學及血清學檢測，確認無感染口蹄疫病毒。其屬</w:t>
      </w:r>
      <w:proofErr w:type="gramStart"/>
      <w:r>
        <w:rPr>
          <w:rFonts w:ascii="標楷體" w:eastAsia="標楷體" w:hAnsi="標楷體"/>
          <w:sz w:val="32"/>
          <w:szCs w:val="32"/>
        </w:rPr>
        <w:t>Ｏ</w:t>
      </w:r>
      <w:proofErr w:type="gramEnd"/>
      <w:r>
        <w:rPr>
          <w:rFonts w:ascii="標楷體" w:eastAsia="標楷體" w:hAnsi="標楷體"/>
          <w:sz w:val="32"/>
          <w:szCs w:val="32"/>
        </w:rPr>
        <w:t>型口蹄疫血清抗體陰性者，應補強注射一劑口蹄疫疫苗滿三十日後，再次採血檢驗，其檢驗結果應為陽性。</w:t>
      </w:r>
    </w:p>
    <w:p w:rsidR="002F41F8" w:rsidRDefault="00617DB3">
      <w:pPr>
        <w:pStyle w:val="-cjk"/>
        <w:spacing w:before="0" w:line="480" w:lineRule="exact"/>
        <w:ind w:left="1701" w:hanging="425"/>
      </w:pPr>
      <w:r>
        <w:rPr>
          <w:rFonts w:ascii="標楷體" w:eastAsia="標楷體" w:hAnsi="標楷體"/>
          <w:sz w:val="32"/>
          <w:szCs w:val="32"/>
        </w:rPr>
        <w:t>6.</w:t>
      </w:r>
      <w:r>
        <w:rPr>
          <w:rFonts w:ascii="標楷體" w:eastAsia="標楷體" w:hAnsi="標楷體"/>
          <w:sz w:val="32"/>
          <w:szCs w:val="32"/>
        </w:rPr>
        <w:tab/>
        <w:t>輸送及屠宰過程，應符合下列規定：</w:t>
      </w:r>
    </w:p>
    <w:p w:rsidR="002F41F8" w:rsidRDefault="00617DB3">
      <w:pPr>
        <w:pStyle w:val="-cjk"/>
        <w:numPr>
          <w:ilvl w:val="0"/>
          <w:numId w:val="11"/>
        </w:numPr>
        <w:spacing w:before="0" w:line="480" w:lineRule="exact"/>
        <w:ind w:left="2410" w:hanging="850"/>
      </w:pPr>
      <w:r>
        <w:rPr>
          <w:rFonts w:ascii="標楷體" w:eastAsia="標楷體" w:hAnsi="標楷體"/>
          <w:sz w:val="32"/>
          <w:szCs w:val="32"/>
        </w:rPr>
        <w:t>於金門縣政府公告指定之屠宰場（以下簡稱指定屠宰場）進行屠宰，且屠宰場於屠宰前、後應確實清潔及消毒。</w:t>
      </w:r>
    </w:p>
    <w:p w:rsidR="002F41F8" w:rsidRDefault="00617DB3">
      <w:pPr>
        <w:pStyle w:val="-cjk"/>
        <w:numPr>
          <w:ilvl w:val="0"/>
          <w:numId w:val="8"/>
        </w:numPr>
        <w:spacing w:before="0" w:line="480" w:lineRule="exact"/>
        <w:ind w:left="2410" w:hanging="850"/>
      </w:pPr>
      <w:r>
        <w:rPr>
          <w:rFonts w:ascii="標楷體" w:eastAsia="標楷體" w:hAnsi="標楷體"/>
          <w:sz w:val="32"/>
          <w:szCs w:val="32"/>
        </w:rPr>
        <w:t>起運及屠宰當日，</w:t>
      </w:r>
      <w:proofErr w:type="gramStart"/>
      <w:r>
        <w:rPr>
          <w:rFonts w:ascii="標楷體" w:eastAsia="標楷體" w:hAnsi="標楷體"/>
          <w:sz w:val="32"/>
          <w:szCs w:val="32"/>
        </w:rPr>
        <w:t>無口蹄疫</w:t>
      </w:r>
      <w:proofErr w:type="gramEnd"/>
      <w:r>
        <w:rPr>
          <w:rFonts w:ascii="標楷體" w:eastAsia="標楷體" w:hAnsi="標楷體"/>
          <w:sz w:val="32"/>
          <w:szCs w:val="32"/>
        </w:rPr>
        <w:t>臨床症狀。</w:t>
      </w:r>
    </w:p>
    <w:p w:rsidR="002F41F8" w:rsidRDefault="00617DB3">
      <w:pPr>
        <w:pStyle w:val="-cjk"/>
        <w:numPr>
          <w:ilvl w:val="0"/>
          <w:numId w:val="8"/>
        </w:numPr>
        <w:spacing w:before="0" w:line="480" w:lineRule="exact"/>
        <w:ind w:left="2410" w:hanging="850"/>
      </w:pPr>
      <w:r>
        <w:rPr>
          <w:rFonts w:ascii="標楷體" w:eastAsia="標楷體" w:hAnsi="標楷體"/>
          <w:sz w:val="32"/>
          <w:szCs w:val="32"/>
        </w:rPr>
        <w:t>由來源場或指定隔離場所以專車直接運至指定屠宰場，運送過程不得接觸口蹄疫病</w:t>
      </w:r>
      <w:r>
        <w:rPr>
          <w:rFonts w:ascii="標楷體" w:eastAsia="標楷體" w:hAnsi="標楷體"/>
          <w:sz w:val="32"/>
          <w:szCs w:val="32"/>
        </w:rPr>
        <w:lastRenderedPageBreak/>
        <w:t>毒或其感受性動物，且裝卸動物前後應確實清潔及消毒。</w:t>
      </w:r>
    </w:p>
    <w:p w:rsidR="002F41F8" w:rsidRDefault="00617DB3">
      <w:pPr>
        <w:pStyle w:val="-cjk"/>
        <w:numPr>
          <w:ilvl w:val="0"/>
          <w:numId w:val="8"/>
        </w:numPr>
        <w:spacing w:before="0" w:line="480" w:lineRule="exact"/>
        <w:ind w:left="2410" w:hanging="850"/>
      </w:pPr>
      <w:r>
        <w:rPr>
          <w:rFonts w:ascii="標楷體" w:eastAsia="標楷體" w:hAnsi="標楷體"/>
          <w:sz w:val="32"/>
          <w:szCs w:val="32"/>
        </w:rPr>
        <w:t>屠宰前應以食用級檸檬酸進行動物體表消毒。</w:t>
      </w:r>
    </w:p>
    <w:p w:rsidR="002F41F8" w:rsidRDefault="00617DB3">
      <w:pPr>
        <w:pStyle w:val="-cjk"/>
        <w:numPr>
          <w:ilvl w:val="0"/>
          <w:numId w:val="8"/>
        </w:numPr>
        <w:spacing w:before="0" w:line="480" w:lineRule="exact"/>
        <w:ind w:left="2410" w:hanging="850"/>
      </w:pPr>
      <w:r>
        <w:rPr>
          <w:rFonts w:ascii="標楷體" w:eastAsia="標楷體" w:hAnsi="標楷體"/>
          <w:sz w:val="32"/>
          <w:szCs w:val="32"/>
        </w:rPr>
        <w:t>經屠宰衛生檢查獸醫師完成屠前、屠後檢查，並開立屠宰衛生檢查合格標誌。</w:t>
      </w:r>
    </w:p>
    <w:p w:rsidR="002F41F8" w:rsidRDefault="00617DB3">
      <w:pPr>
        <w:pStyle w:val="-cjk"/>
        <w:numPr>
          <w:ilvl w:val="0"/>
          <w:numId w:val="8"/>
        </w:numPr>
        <w:spacing w:before="0" w:line="480" w:lineRule="exact"/>
        <w:ind w:left="2410" w:hanging="850"/>
      </w:pPr>
      <w:r>
        <w:rPr>
          <w:rFonts w:ascii="標楷體" w:eastAsia="標楷體" w:hAnsi="標楷體"/>
          <w:sz w:val="32"/>
          <w:szCs w:val="32"/>
        </w:rPr>
        <w:t>自指定屠宰場執行屠宰前最後一次消毒時起，至</w:t>
      </w:r>
      <w:proofErr w:type="gramStart"/>
      <w:r>
        <w:rPr>
          <w:rFonts w:ascii="標楷體" w:eastAsia="標楷體" w:hAnsi="標楷體"/>
          <w:sz w:val="32"/>
          <w:szCs w:val="32"/>
        </w:rPr>
        <w:t>該批肉品</w:t>
      </w:r>
      <w:proofErr w:type="gramEnd"/>
      <w:r>
        <w:rPr>
          <w:rFonts w:ascii="標楷體" w:eastAsia="標楷體" w:hAnsi="標楷體"/>
          <w:sz w:val="32"/>
          <w:szCs w:val="32"/>
        </w:rPr>
        <w:t>起運前，金門地區</w:t>
      </w:r>
      <w:proofErr w:type="gramStart"/>
      <w:r>
        <w:rPr>
          <w:rFonts w:ascii="標楷體" w:eastAsia="標楷體" w:hAnsi="標楷體"/>
          <w:sz w:val="32"/>
          <w:szCs w:val="32"/>
        </w:rPr>
        <w:t>無口蹄</w:t>
      </w:r>
      <w:proofErr w:type="gramEnd"/>
      <w:r>
        <w:rPr>
          <w:rFonts w:ascii="標楷體" w:eastAsia="標楷體" w:hAnsi="標楷體"/>
          <w:sz w:val="32"/>
          <w:szCs w:val="32"/>
        </w:rPr>
        <w:t>疫案例。</w:t>
      </w:r>
    </w:p>
    <w:p w:rsidR="002F41F8" w:rsidRDefault="00617DB3">
      <w:pPr>
        <w:pStyle w:val="-cjk"/>
        <w:spacing w:before="0" w:line="480" w:lineRule="exact"/>
        <w:ind w:left="1276" w:hanging="641"/>
      </w:pPr>
      <w:r>
        <w:rPr>
          <w:rFonts w:ascii="標楷體" w:eastAsia="標楷體" w:hAnsi="標楷體"/>
          <w:sz w:val="32"/>
          <w:szCs w:val="32"/>
        </w:rPr>
        <w:t>(三)屠體來源羊隻符合前款規定之生鮮、冷藏或冷凍羊肉。但不包括屠體之頭、腳、內臟及骨。</w:t>
      </w:r>
    </w:p>
    <w:p w:rsidR="002F41F8" w:rsidRDefault="00617DB3">
      <w:pPr>
        <w:pStyle w:val="-cjk"/>
        <w:spacing w:before="0" w:line="480" w:lineRule="exact"/>
        <w:ind w:left="1276" w:hanging="641"/>
      </w:pPr>
      <w:r>
        <w:rPr>
          <w:rFonts w:ascii="標楷體" w:eastAsia="標楷體" w:hAnsi="標楷體"/>
          <w:sz w:val="32"/>
          <w:szCs w:val="32"/>
        </w:rPr>
        <w:t>(四)屠體來源豬隻符合下列條件之生鮮、冷藏或冷凍豬肉。但不包括屠體之頭、腳、內臟及骨：</w:t>
      </w:r>
    </w:p>
    <w:p w:rsidR="002F41F8" w:rsidRDefault="00617DB3">
      <w:pPr>
        <w:pStyle w:val="-cjk"/>
        <w:spacing w:before="0" w:line="480" w:lineRule="exact"/>
        <w:ind w:left="1701" w:hanging="425"/>
      </w:pPr>
      <w:r>
        <w:rPr>
          <w:rFonts w:ascii="標楷體" w:eastAsia="標楷體" w:hAnsi="標楷體"/>
          <w:sz w:val="32"/>
          <w:szCs w:val="32"/>
        </w:rPr>
        <w:t>1.</w:t>
      </w:r>
      <w:r>
        <w:rPr>
          <w:rFonts w:ascii="標楷體" w:eastAsia="標楷體" w:hAnsi="標楷體"/>
          <w:sz w:val="32"/>
          <w:szCs w:val="32"/>
        </w:rPr>
        <w:tab/>
        <w:t>屠宰前，經來源場飼養三個月以上。</w:t>
      </w:r>
    </w:p>
    <w:p w:rsidR="002F41F8" w:rsidRDefault="00617DB3">
      <w:pPr>
        <w:pStyle w:val="-cjk"/>
        <w:spacing w:before="0" w:line="480" w:lineRule="exact"/>
        <w:ind w:left="1701" w:hanging="425"/>
      </w:pPr>
      <w:r>
        <w:rPr>
          <w:rFonts w:ascii="標楷體" w:eastAsia="標楷體" w:hAnsi="標楷體"/>
          <w:sz w:val="32"/>
          <w:szCs w:val="32"/>
        </w:rPr>
        <w:t>2.</w:t>
      </w:r>
      <w:r>
        <w:rPr>
          <w:rFonts w:ascii="標楷體" w:eastAsia="標楷體" w:hAnsi="標楷體"/>
          <w:sz w:val="32"/>
          <w:szCs w:val="32"/>
        </w:rPr>
        <w:tab/>
        <w:t>第二款第二目至第六目規定。</w:t>
      </w:r>
    </w:p>
    <w:p w:rsidR="002F41F8" w:rsidRDefault="00617DB3">
      <w:pPr>
        <w:pStyle w:val="-cjk"/>
        <w:spacing w:before="0" w:line="480" w:lineRule="exact"/>
        <w:ind w:left="1701" w:hanging="425"/>
      </w:pPr>
      <w:r>
        <w:rPr>
          <w:rFonts w:ascii="標楷體" w:eastAsia="標楷體" w:hAnsi="標楷體"/>
          <w:sz w:val="32"/>
          <w:szCs w:val="32"/>
        </w:rPr>
        <w:t>3.</w:t>
      </w:r>
      <w:r>
        <w:rPr>
          <w:rFonts w:ascii="標楷體" w:eastAsia="標楷體" w:hAnsi="標楷體"/>
          <w:sz w:val="32"/>
          <w:szCs w:val="32"/>
        </w:rPr>
        <w:tab/>
        <w:t>屠宰後以防滲漏方式包裝，於動物防疫機關監督下，輸送至臺灣本島指定肉品加工廠，以下列方式之</w:t>
      </w:r>
      <w:proofErr w:type="gramStart"/>
      <w:r>
        <w:rPr>
          <w:rFonts w:ascii="標楷體" w:eastAsia="標楷體" w:hAnsi="標楷體"/>
          <w:sz w:val="32"/>
          <w:szCs w:val="32"/>
        </w:rPr>
        <w:t>一</w:t>
      </w:r>
      <w:proofErr w:type="gramEnd"/>
      <w:r>
        <w:rPr>
          <w:rFonts w:ascii="標楷體" w:eastAsia="標楷體" w:hAnsi="標楷體"/>
          <w:sz w:val="32"/>
          <w:szCs w:val="32"/>
        </w:rPr>
        <w:t>加工處理：</w:t>
      </w:r>
    </w:p>
    <w:p w:rsidR="002F41F8" w:rsidRDefault="00617DB3">
      <w:pPr>
        <w:pStyle w:val="-cjk"/>
        <w:numPr>
          <w:ilvl w:val="0"/>
          <w:numId w:val="12"/>
        </w:numPr>
        <w:spacing w:before="0" w:line="480" w:lineRule="exact"/>
        <w:ind w:left="2410" w:hanging="850"/>
      </w:pPr>
      <w:r>
        <w:rPr>
          <w:rFonts w:ascii="標楷體" w:eastAsia="標楷體" w:hAnsi="標楷體"/>
          <w:sz w:val="32"/>
          <w:szCs w:val="32"/>
        </w:rPr>
        <w:t>製成罐頭。</w:t>
      </w:r>
    </w:p>
    <w:p w:rsidR="002F41F8" w:rsidRDefault="00617DB3">
      <w:pPr>
        <w:pStyle w:val="-cjk"/>
        <w:numPr>
          <w:ilvl w:val="0"/>
          <w:numId w:val="9"/>
        </w:numPr>
        <w:spacing w:before="0" w:line="480" w:lineRule="exact"/>
        <w:ind w:left="2410" w:hanging="850"/>
      </w:pPr>
      <w:r>
        <w:rPr>
          <w:rFonts w:ascii="標楷體" w:eastAsia="標楷體" w:hAnsi="標楷體"/>
          <w:sz w:val="32"/>
          <w:szCs w:val="32"/>
        </w:rPr>
        <w:t>加熱使產品中心溫度達70℃以上並持續三十分鐘以上。</w:t>
      </w:r>
    </w:p>
    <w:p w:rsidR="002F41F8" w:rsidRDefault="00617DB3">
      <w:pPr>
        <w:pStyle w:val="-cjk"/>
        <w:numPr>
          <w:ilvl w:val="0"/>
          <w:numId w:val="9"/>
        </w:numPr>
        <w:spacing w:before="0" w:line="480" w:lineRule="exact"/>
        <w:ind w:left="2410" w:hanging="850"/>
      </w:pPr>
      <w:r>
        <w:rPr>
          <w:rFonts w:ascii="標楷體" w:eastAsia="標楷體" w:hAnsi="標楷體"/>
          <w:sz w:val="32"/>
          <w:szCs w:val="32"/>
        </w:rPr>
        <w:t>水活性在0.85以下之鹽漬乾燥。</w:t>
      </w:r>
    </w:p>
    <w:p w:rsidR="002F41F8" w:rsidRDefault="00617DB3">
      <w:pPr>
        <w:pStyle w:val="-cjk"/>
        <w:spacing w:before="0" w:line="480" w:lineRule="exact"/>
        <w:ind w:left="1276" w:hanging="641"/>
      </w:pPr>
      <w:r>
        <w:rPr>
          <w:rFonts w:ascii="標楷體" w:eastAsia="標楷體" w:hAnsi="標楷體"/>
          <w:sz w:val="32"/>
          <w:szCs w:val="32"/>
        </w:rPr>
        <w:t>(五)臺灣本島製造，於金門地區販售，且完整維持原廠密閉式包裝之生鮮豬肉產品，得由旅客攜出或以貨運方式輸送至臺灣本島及其他離島。</w:t>
      </w:r>
    </w:p>
    <w:sectPr w:rsidR="002F41F8">
      <w:footerReference w:type="default" r:id="rId7"/>
      <w:pgSz w:w="11906" w:h="16838"/>
      <w:pgMar w:top="1440" w:right="1800" w:bottom="1440" w:left="180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C7F" w:rsidRDefault="00F14C7F">
      <w:r>
        <w:separator/>
      </w:r>
    </w:p>
  </w:endnote>
  <w:endnote w:type="continuationSeparator" w:id="0">
    <w:p w:rsidR="00F14C7F" w:rsidRDefault="00F1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F80" w:rsidRDefault="00F14C7F">
    <w:pPr>
      <w:pStyle w:val="a7"/>
      <w:jc w:val="center"/>
    </w:pPr>
  </w:p>
  <w:p w:rsidR="002C7F80" w:rsidRDefault="00F14C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C7F" w:rsidRDefault="00F14C7F">
      <w:r>
        <w:rPr>
          <w:color w:val="000000"/>
        </w:rPr>
        <w:separator/>
      </w:r>
    </w:p>
  </w:footnote>
  <w:footnote w:type="continuationSeparator" w:id="0">
    <w:p w:rsidR="00F14C7F" w:rsidRDefault="00F14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058B"/>
    <w:multiLevelType w:val="multilevel"/>
    <w:tmpl w:val="C73E30C0"/>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1C9E15C6"/>
    <w:multiLevelType w:val="multilevel"/>
    <w:tmpl w:val="E966769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4EC2A8B"/>
    <w:multiLevelType w:val="multilevel"/>
    <w:tmpl w:val="B92A2CD4"/>
    <w:styleLink w:val="WW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27AD506E"/>
    <w:multiLevelType w:val="multilevel"/>
    <w:tmpl w:val="900A5A5C"/>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3834727A"/>
    <w:multiLevelType w:val="multilevel"/>
    <w:tmpl w:val="0B60AE76"/>
    <w:styleLink w:val="WWNum4"/>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3E9462D5"/>
    <w:multiLevelType w:val="multilevel"/>
    <w:tmpl w:val="90184B58"/>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3F8E5E6C"/>
    <w:multiLevelType w:val="multilevel"/>
    <w:tmpl w:val="43DCA6B2"/>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4A7834D9"/>
    <w:multiLevelType w:val="multilevel"/>
    <w:tmpl w:val="59A456C6"/>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6F4B54FE"/>
    <w:multiLevelType w:val="multilevel"/>
    <w:tmpl w:val="ACF6D882"/>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76A84DFD"/>
    <w:multiLevelType w:val="multilevel"/>
    <w:tmpl w:val="2ED646B2"/>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8"/>
  </w:num>
  <w:num w:numId="3">
    <w:abstractNumId w:val="5"/>
  </w:num>
  <w:num w:numId="4">
    <w:abstractNumId w:val="9"/>
  </w:num>
  <w:num w:numId="5">
    <w:abstractNumId w:val="4"/>
  </w:num>
  <w:num w:numId="6">
    <w:abstractNumId w:val="3"/>
  </w:num>
  <w:num w:numId="7">
    <w:abstractNumId w:val="0"/>
  </w:num>
  <w:num w:numId="8">
    <w:abstractNumId w:val="6"/>
  </w:num>
  <w:num w:numId="9">
    <w:abstractNumId w:val="7"/>
  </w:num>
  <w:num w:numId="10">
    <w:abstractNumId w:val="2"/>
  </w:num>
  <w:num w:numId="11">
    <w:abstractNumId w:val="6"/>
    <w:lvlOverride w:ilvl="0">
      <w:startOverride w:val="1"/>
    </w:lvlOverride>
  </w:num>
  <w:num w:numId="1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F8"/>
    <w:rsid w:val="001D330B"/>
    <w:rsid w:val="002F41F8"/>
    <w:rsid w:val="00617DB3"/>
    <w:rsid w:val="009E6691"/>
    <w:rsid w:val="00F14C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93ABD-7038-4F30-AB11-E4EB269E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a5">
    <w:name w:val="一"/>
    <w:basedOn w:val="Standard"/>
    <w:pPr>
      <w:spacing w:line="340" w:lineRule="exact"/>
      <w:ind w:left="200" w:hanging="200"/>
      <w:jc w:val="both"/>
    </w:pPr>
    <w:rPr>
      <w:rFonts w:ascii="Times New Roman" w:hAnsi="Times New Roman" w:cs="Times New Roman"/>
      <w:sz w:val="22"/>
      <w:szCs w:val="24"/>
    </w:rPr>
  </w:style>
  <w:style w:type="paragraph" w:styleId="Web">
    <w:name w:val="Normal (Web)"/>
    <w:basedOn w:val="Standard"/>
    <w:pPr>
      <w:widowControl/>
      <w:spacing w:before="280"/>
    </w:pPr>
    <w:rPr>
      <w:rFonts w:ascii="新細明體" w:hAnsi="新細明體" w:cs="新細明體"/>
      <w:kern w:val="0"/>
      <w:szCs w:val="24"/>
    </w:rPr>
  </w:style>
  <w:style w:type="paragraph" w:customStyle="1" w:styleId="-cjk">
    <w:name w:val="一-cjk"/>
    <w:basedOn w:val="Standard"/>
    <w:pPr>
      <w:widowControl/>
      <w:spacing w:before="280" w:line="340" w:lineRule="atLeast"/>
      <w:ind w:left="198" w:hanging="198"/>
      <w:jc w:val="both"/>
    </w:pPr>
    <w:rPr>
      <w:rFonts w:ascii="新細明體" w:hAnsi="新細明體" w:cs="新細明體"/>
      <w:kern w:val="0"/>
      <w:sz w:val="22"/>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styleId="a9">
    <w:name w:val="annotation text"/>
    <w:basedOn w:val="Standard"/>
  </w:style>
  <w:style w:type="paragraph" w:styleId="aa">
    <w:name w:val="annotation subject"/>
    <w:basedOn w:val="a9"/>
    <w:rPr>
      <w:b/>
      <w:bCs/>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ad">
    <w:name w:val="註解方塊文字 字元"/>
    <w:basedOn w:val="a0"/>
    <w:rPr>
      <w:rFonts w:ascii="Calibri Light" w:eastAsia="新細明體" w:hAnsi="Calibri Light" w:cs="F"/>
      <w:sz w:val="18"/>
      <w:szCs w:val="18"/>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吳恆毅</dc:creator>
  <cp:lastModifiedBy>林美燕</cp:lastModifiedBy>
  <cp:revision>2</cp:revision>
  <cp:lastPrinted>2023-12-05T05:38:00Z</cp:lastPrinted>
  <dcterms:created xsi:type="dcterms:W3CDTF">2023-12-25T00:20:00Z</dcterms:created>
  <dcterms:modified xsi:type="dcterms:W3CDTF">2023-12-25T00:20:00Z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