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9AB" w:rsidRDefault="00F05D9B">
      <w:pPr>
        <w:pStyle w:val="a4"/>
        <w:spacing w:line="560" w:lineRule="exact"/>
        <w:ind w:left="800" w:hanging="800"/>
        <w:jc w:val="center"/>
        <w:rPr>
          <w:rFonts w:eastAsia="標楷體"/>
          <w:sz w:val="40"/>
        </w:rPr>
      </w:pPr>
      <w:bookmarkStart w:id="0" w:name="_GoBack"/>
      <w:bookmarkEnd w:id="0"/>
      <w:r>
        <w:rPr>
          <w:rFonts w:eastAsia="標楷體"/>
          <w:sz w:val="40"/>
        </w:rPr>
        <w:t xml:space="preserve"> </w:t>
      </w:r>
      <w:r>
        <w:rPr>
          <w:rFonts w:eastAsia="標楷體"/>
          <w:sz w:val="40"/>
        </w:rPr>
        <w:t>農業部</w:t>
      </w:r>
      <w:bookmarkStart w:id="1" w:name="_Hlk211258273"/>
      <w:r>
        <w:rPr>
          <w:rFonts w:eastAsia="標楷體"/>
          <w:sz w:val="40"/>
        </w:rPr>
        <w:t>辦理一百十四年天然</w:t>
      </w:r>
      <w:proofErr w:type="gramStart"/>
      <w:r>
        <w:rPr>
          <w:rFonts w:eastAsia="標楷體"/>
          <w:sz w:val="40"/>
        </w:rPr>
        <w:t>災害溫網室</w:t>
      </w:r>
      <w:proofErr w:type="gramEnd"/>
    </w:p>
    <w:p w:rsidR="002409AB" w:rsidRDefault="00F05D9B">
      <w:pPr>
        <w:pStyle w:val="a4"/>
        <w:spacing w:line="560" w:lineRule="exact"/>
        <w:ind w:left="800" w:hanging="800"/>
        <w:jc w:val="center"/>
        <w:rPr>
          <w:rFonts w:eastAsia="標楷體"/>
          <w:sz w:val="40"/>
        </w:rPr>
      </w:pPr>
      <w:r>
        <w:rPr>
          <w:rFonts w:eastAsia="標楷體"/>
          <w:sz w:val="40"/>
        </w:rPr>
        <w:t>設施重建輔導措施補助</w:t>
      </w:r>
      <w:bookmarkEnd w:id="1"/>
      <w:r>
        <w:rPr>
          <w:rFonts w:eastAsia="標楷體"/>
          <w:sz w:val="40"/>
        </w:rPr>
        <w:t>作業要點</w:t>
      </w:r>
    </w:p>
    <w:p w:rsidR="002409AB" w:rsidRDefault="00F05D9B">
      <w:pPr>
        <w:pStyle w:val="a4"/>
        <w:numPr>
          <w:ilvl w:val="0"/>
          <w:numId w:val="2"/>
        </w:numPr>
        <w:spacing w:line="560" w:lineRule="exact"/>
        <w:ind w:left="709" w:hanging="709"/>
        <w:rPr>
          <w:rFonts w:eastAsia="標楷體"/>
          <w:sz w:val="32"/>
        </w:rPr>
      </w:pPr>
      <w:r>
        <w:rPr>
          <w:rFonts w:eastAsia="標楷體"/>
          <w:sz w:val="32"/>
        </w:rPr>
        <w:t>農業部</w:t>
      </w:r>
      <w:r>
        <w:rPr>
          <w:rFonts w:eastAsia="標楷體"/>
          <w:sz w:val="32"/>
        </w:rPr>
        <w:t>(</w:t>
      </w:r>
      <w:r>
        <w:rPr>
          <w:rFonts w:eastAsia="標楷體"/>
          <w:sz w:val="32"/>
        </w:rPr>
        <w:t>以下簡稱本部</w:t>
      </w:r>
      <w:r>
        <w:rPr>
          <w:rFonts w:eastAsia="標楷體"/>
          <w:sz w:val="32"/>
        </w:rPr>
        <w:t>)</w:t>
      </w:r>
      <w:r>
        <w:rPr>
          <w:rFonts w:eastAsia="標楷體"/>
          <w:sz w:val="32"/>
        </w:rPr>
        <w:t>為</w:t>
      </w:r>
      <w:bookmarkStart w:id="2" w:name="_Hlk211245294"/>
      <w:r>
        <w:rPr>
          <w:rFonts w:eastAsia="標楷體"/>
          <w:sz w:val="32"/>
        </w:rPr>
        <w:t>因應</w:t>
      </w:r>
      <w:bookmarkStart w:id="3" w:name="_Hlk211258289"/>
      <w:r>
        <w:rPr>
          <w:rFonts w:eastAsia="標楷體"/>
          <w:sz w:val="32"/>
        </w:rPr>
        <w:t>丹</w:t>
      </w:r>
      <w:proofErr w:type="gramStart"/>
      <w:r>
        <w:rPr>
          <w:rFonts w:eastAsia="標楷體"/>
          <w:sz w:val="32"/>
        </w:rPr>
        <w:t>娜</w:t>
      </w:r>
      <w:proofErr w:type="gramEnd"/>
      <w:r>
        <w:rPr>
          <w:rFonts w:eastAsia="標楷體"/>
          <w:sz w:val="32"/>
        </w:rPr>
        <w:t>絲、楊柳及</w:t>
      </w:r>
      <w:proofErr w:type="gramStart"/>
      <w:r>
        <w:rPr>
          <w:rFonts w:eastAsia="標楷體"/>
          <w:sz w:val="32"/>
        </w:rPr>
        <w:t>樺加</w:t>
      </w:r>
      <w:proofErr w:type="gramEnd"/>
      <w:r>
        <w:rPr>
          <w:rFonts w:eastAsia="標楷體"/>
          <w:sz w:val="32"/>
        </w:rPr>
        <w:t>沙等颱風侵襲</w:t>
      </w:r>
      <w:bookmarkEnd w:id="3"/>
      <w:r>
        <w:rPr>
          <w:rFonts w:eastAsia="標楷體"/>
          <w:sz w:val="32"/>
        </w:rPr>
        <w:t>，加速進行設施重建及修復作</w:t>
      </w:r>
      <w:bookmarkEnd w:id="2"/>
      <w:r>
        <w:rPr>
          <w:rFonts w:eastAsia="標楷體"/>
          <w:sz w:val="32"/>
        </w:rPr>
        <w:t>業，恢復農作物生產經營，強化農業防災韌性，</w:t>
      </w:r>
      <w:bookmarkStart w:id="4" w:name="_Hlk211245335"/>
      <w:r>
        <w:rPr>
          <w:rFonts w:eastAsia="標楷體"/>
          <w:sz w:val="32"/>
        </w:rPr>
        <w:t>給予專案重建輔導措施補助，依據農業部執行丹娜絲颱風及七二八豪雨災後復原重建辦法第三條</w:t>
      </w:r>
      <w:bookmarkEnd w:id="4"/>
      <w:r>
        <w:rPr>
          <w:rFonts w:eastAsia="標楷體"/>
          <w:sz w:val="32"/>
        </w:rPr>
        <w:t>第二款，特訂定本要點。</w:t>
      </w:r>
    </w:p>
    <w:p w:rsidR="002409AB" w:rsidRDefault="00F05D9B">
      <w:pPr>
        <w:pStyle w:val="a4"/>
        <w:numPr>
          <w:ilvl w:val="0"/>
          <w:numId w:val="2"/>
        </w:numPr>
        <w:spacing w:line="560" w:lineRule="exact"/>
        <w:ind w:left="709" w:hanging="709"/>
        <w:rPr>
          <w:rFonts w:eastAsia="標楷體"/>
          <w:sz w:val="32"/>
        </w:rPr>
      </w:pPr>
      <w:r>
        <w:rPr>
          <w:rFonts w:eastAsia="標楷體"/>
          <w:sz w:val="32"/>
        </w:rPr>
        <w:t>本要點適用區域：公告丹</w:t>
      </w:r>
      <w:proofErr w:type="gramStart"/>
      <w:r>
        <w:rPr>
          <w:rFonts w:eastAsia="標楷體"/>
          <w:sz w:val="32"/>
        </w:rPr>
        <w:t>娜</w:t>
      </w:r>
      <w:proofErr w:type="gramEnd"/>
      <w:r>
        <w:rPr>
          <w:rFonts w:eastAsia="標楷體"/>
          <w:sz w:val="32"/>
        </w:rPr>
        <w:t>絲、楊柳及</w:t>
      </w:r>
      <w:proofErr w:type="gramStart"/>
      <w:r>
        <w:rPr>
          <w:rFonts w:eastAsia="標楷體"/>
          <w:sz w:val="32"/>
        </w:rPr>
        <w:t>樺加</w:t>
      </w:r>
      <w:proofErr w:type="gramEnd"/>
      <w:r>
        <w:rPr>
          <w:rFonts w:eastAsia="標楷體"/>
          <w:sz w:val="32"/>
        </w:rPr>
        <w:t>沙颱風農業設施天然災害救助地區。</w:t>
      </w:r>
    </w:p>
    <w:p w:rsidR="002409AB" w:rsidRDefault="00F05D9B">
      <w:pPr>
        <w:pStyle w:val="a4"/>
        <w:numPr>
          <w:ilvl w:val="0"/>
          <w:numId w:val="2"/>
        </w:numPr>
        <w:spacing w:line="560" w:lineRule="exact"/>
        <w:ind w:left="709" w:hanging="709"/>
        <w:rPr>
          <w:rFonts w:eastAsia="標楷體"/>
          <w:sz w:val="32"/>
        </w:rPr>
      </w:pPr>
      <w:r>
        <w:rPr>
          <w:rFonts w:eastAsia="標楷體"/>
          <w:sz w:val="32"/>
        </w:rPr>
        <w:t>本要點適用對象：農民、農民團體。</w:t>
      </w:r>
    </w:p>
    <w:p w:rsidR="002409AB" w:rsidRDefault="00F05D9B">
      <w:pPr>
        <w:pStyle w:val="a4"/>
        <w:numPr>
          <w:ilvl w:val="0"/>
          <w:numId w:val="2"/>
        </w:numPr>
        <w:spacing w:line="560" w:lineRule="exact"/>
        <w:ind w:left="709" w:hanging="709"/>
        <w:rPr>
          <w:rFonts w:eastAsia="標楷體"/>
          <w:sz w:val="32"/>
        </w:rPr>
      </w:pPr>
      <w:r>
        <w:rPr>
          <w:rFonts w:eastAsia="標楷體"/>
          <w:sz w:val="32"/>
        </w:rPr>
        <w:t>本要點受理及執行期限：受理自中華民國一百十四年七月十八日起至十二月三十一日止；執行期限於一百十六年十月三十一日前完成興設，一百十六年十一月三十日前完成成果查核。</w:t>
      </w:r>
    </w:p>
    <w:p w:rsidR="002409AB" w:rsidRDefault="00F05D9B">
      <w:pPr>
        <w:pStyle w:val="a4"/>
        <w:numPr>
          <w:ilvl w:val="0"/>
          <w:numId w:val="2"/>
        </w:numPr>
        <w:spacing w:line="560" w:lineRule="exact"/>
        <w:ind w:left="709" w:hanging="709"/>
        <w:rPr>
          <w:rFonts w:eastAsia="標楷體"/>
          <w:sz w:val="32"/>
        </w:rPr>
      </w:pPr>
      <w:r>
        <w:rPr>
          <w:rFonts w:eastAsia="標楷體"/>
          <w:sz w:val="32"/>
        </w:rPr>
        <w:t>本要點申請資格：</w:t>
      </w:r>
    </w:p>
    <w:p w:rsidR="002409AB" w:rsidRDefault="00F05D9B">
      <w:pPr>
        <w:pStyle w:val="a4"/>
        <w:numPr>
          <w:ilvl w:val="0"/>
          <w:numId w:val="3"/>
        </w:numPr>
        <w:spacing w:line="560" w:lineRule="exact"/>
        <w:ind w:left="907" w:hanging="624"/>
        <w:rPr>
          <w:rFonts w:eastAsia="標楷體"/>
          <w:sz w:val="32"/>
        </w:rPr>
      </w:pPr>
      <w:r>
        <w:rPr>
          <w:rFonts w:eastAsia="標楷體"/>
          <w:sz w:val="32"/>
        </w:rPr>
        <w:t>申請對象之</w:t>
      </w:r>
      <w:proofErr w:type="gramStart"/>
      <w:r>
        <w:rPr>
          <w:rFonts w:eastAsia="標楷體"/>
          <w:sz w:val="32"/>
        </w:rPr>
        <w:t>農作物溫網室</w:t>
      </w:r>
      <w:proofErr w:type="gramEnd"/>
      <w:r>
        <w:rPr>
          <w:rFonts w:eastAsia="標楷體"/>
          <w:sz w:val="32"/>
        </w:rPr>
        <w:t>生產設施位於農業部公告之現金救助地區，且取得一百十四年「</w:t>
      </w:r>
      <w:proofErr w:type="gramStart"/>
      <w:r>
        <w:rPr>
          <w:rFonts w:eastAsia="標楷體"/>
          <w:sz w:val="32"/>
        </w:rPr>
        <w:t>塑膠布溫網</w:t>
      </w:r>
      <w:proofErr w:type="gramEnd"/>
      <w:r>
        <w:rPr>
          <w:rFonts w:eastAsia="標楷體"/>
          <w:sz w:val="32"/>
        </w:rPr>
        <w:t>室</w:t>
      </w:r>
      <w:r>
        <w:rPr>
          <w:rFonts w:eastAsia="標楷體"/>
          <w:sz w:val="32"/>
        </w:rPr>
        <w:t>-</w:t>
      </w:r>
      <w:r>
        <w:rPr>
          <w:rFonts w:eastAsia="標楷體"/>
          <w:sz w:val="32"/>
        </w:rPr>
        <w:t>整體結構」、「水平棚架網室</w:t>
      </w:r>
      <w:r>
        <w:rPr>
          <w:rFonts w:eastAsia="標楷體"/>
          <w:sz w:val="32"/>
        </w:rPr>
        <w:t>-</w:t>
      </w:r>
      <w:r>
        <w:rPr>
          <w:rFonts w:eastAsia="標楷體"/>
          <w:sz w:val="32"/>
        </w:rPr>
        <w:t>整體結構」、「</w:t>
      </w:r>
      <w:proofErr w:type="gramStart"/>
      <w:r>
        <w:rPr>
          <w:rFonts w:eastAsia="標楷體"/>
          <w:sz w:val="32"/>
        </w:rPr>
        <w:t>塑膠布溫網</w:t>
      </w:r>
      <w:proofErr w:type="gramEnd"/>
      <w:r>
        <w:rPr>
          <w:rFonts w:eastAsia="標楷體"/>
          <w:sz w:val="32"/>
        </w:rPr>
        <w:t>室</w:t>
      </w:r>
      <w:r>
        <w:rPr>
          <w:rFonts w:eastAsia="標楷體"/>
          <w:sz w:val="32"/>
        </w:rPr>
        <w:t>-</w:t>
      </w:r>
      <w:r>
        <w:rPr>
          <w:rFonts w:eastAsia="標楷體"/>
          <w:sz w:val="32"/>
        </w:rPr>
        <w:t>塑膠布（網）」、「水平棚架網室</w:t>
      </w:r>
      <w:r>
        <w:rPr>
          <w:rFonts w:eastAsia="標楷體"/>
          <w:sz w:val="32"/>
        </w:rPr>
        <w:t>-</w:t>
      </w:r>
      <w:r>
        <w:rPr>
          <w:rFonts w:eastAsia="標楷體"/>
          <w:sz w:val="32"/>
        </w:rPr>
        <w:t>塑膠布（網）」之受災地鄉</w:t>
      </w:r>
      <w:r>
        <w:rPr>
          <w:rFonts w:eastAsia="標楷體"/>
          <w:sz w:val="32"/>
        </w:rPr>
        <w:t>(</w:t>
      </w:r>
      <w:r>
        <w:rPr>
          <w:rFonts w:eastAsia="標楷體"/>
          <w:sz w:val="32"/>
        </w:rPr>
        <w:t>鎮、市、區</w:t>
      </w:r>
      <w:r>
        <w:rPr>
          <w:rFonts w:eastAsia="標楷體"/>
          <w:sz w:val="32"/>
        </w:rPr>
        <w:t>)</w:t>
      </w:r>
      <w:r>
        <w:rPr>
          <w:rFonts w:eastAsia="標楷體"/>
          <w:sz w:val="32"/>
        </w:rPr>
        <w:t>公所核發</w:t>
      </w:r>
      <w:r>
        <w:rPr>
          <w:rFonts w:eastAsia="標楷體"/>
          <w:sz w:val="32"/>
        </w:rPr>
        <w:t>一百十四年農業天然災害審核通知或農業天然災害受災證明文件且有案可稽者。</w:t>
      </w:r>
    </w:p>
    <w:p w:rsidR="002409AB" w:rsidRDefault="00F05D9B">
      <w:pPr>
        <w:pStyle w:val="a4"/>
        <w:numPr>
          <w:ilvl w:val="0"/>
          <w:numId w:val="3"/>
        </w:numPr>
        <w:spacing w:line="560" w:lineRule="exact"/>
        <w:ind w:left="907" w:hanging="624"/>
        <w:rPr>
          <w:rFonts w:eastAsia="標楷體"/>
          <w:sz w:val="32"/>
        </w:rPr>
      </w:pPr>
      <w:r>
        <w:rPr>
          <w:rFonts w:eastAsia="標楷體"/>
          <w:sz w:val="32"/>
        </w:rPr>
        <w:t>恢復原狀文件</w:t>
      </w:r>
      <w:r>
        <w:rPr>
          <w:rFonts w:eastAsia="標楷體"/>
          <w:sz w:val="32"/>
        </w:rPr>
        <w:t>(</w:t>
      </w:r>
      <w:r>
        <w:rPr>
          <w:rFonts w:eastAsia="標楷體"/>
          <w:sz w:val="32"/>
        </w:rPr>
        <w:t>受災地段號、面積及圖片等</w:t>
      </w:r>
      <w:r>
        <w:rPr>
          <w:rFonts w:eastAsia="標楷體"/>
          <w:sz w:val="32"/>
        </w:rPr>
        <w:t>)</w:t>
      </w:r>
      <w:r>
        <w:rPr>
          <w:rFonts w:eastAsia="標楷體"/>
          <w:sz w:val="32"/>
        </w:rPr>
        <w:t>，並於</w:t>
      </w:r>
      <w:proofErr w:type="gramStart"/>
      <w:r>
        <w:rPr>
          <w:rFonts w:eastAsia="標楷體"/>
          <w:sz w:val="32"/>
        </w:rPr>
        <w:t>核銷時檢具</w:t>
      </w:r>
      <w:proofErr w:type="gramEnd"/>
      <w:r>
        <w:rPr>
          <w:rFonts w:eastAsia="標楷體"/>
          <w:sz w:val="32"/>
        </w:rPr>
        <w:t>農業用地作農業設施容許使用證明文件者。</w:t>
      </w:r>
    </w:p>
    <w:p w:rsidR="002409AB" w:rsidRDefault="00F05D9B">
      <w:pPr>
        <w:pStyle w:val="a4"/>
        <w:numPr>
          <w:ilvl w:val="0"/>
          <w:numId w:val="3"/>
        </w:numPr>
        <w:spacing w:line="560" w:lineRule="exact"/>
        <w:ind w:left="907" w:hanging="624"/>
        <w:rPr>
          <w:rFonts w:eastAsia="標楷體"/>
          <w:sz w:val="32"/>
        </w:rPr>
      </w:pPr>
      <w:r>
        <w:rPr>
          <w:rFonts w:eastAsia="標楷體"/>
          <w:sz w:val="32"/>
        </w:rPr>
        <w:t>位於花蓮縣光復鄉、壽豐鄉、萬榮鄉及鳳林鎮，因</w:t>
      </w:r>
      <w:proofErr w:type="gramStart"/>
      <w:r>
        <w:rPr>
          <w:rFonts w:eastAsia="標楷體"/>
          <w:sz w:val="32"/>
        </w:rPr>
        <w:t>樺加沙</w:t>
      </w:r>
      <w:proofErr w:type="gramEnd"/>
      <w:r>
        <w:rPr>
          <w:rFonts w:eastAsia="標楷體"/>
          <w:sz w:val="32"/>
        </w:rPr>
        <w:t>颱風侵襲，馬太</w:t>
      </w:r>
      <w:proofErr w:type="gramStart"/>
      <w:r>
        <w:rPr>
          <w:rFonts w:eastAsia="標楷體"/>
          <w:sz w:val="32"/>
        </w:rPr>
        <w:t>鞍溪</w:t>
      </w:r>
      <w:proofErr w:type="gramEnd"/>
      <w:r>
        <w:rPr>
          <w:rFonts w:eastAsia="標楷體"/>
          <w:sz w:val="32"/>
        </w:rPr>
        <w:t>堰塞湖溢流農田</w:t>
      </w:r>
      <w:proofErr w:type="gramStart"/>
      <w:r>
        <w:rPr>
          <w:rFonts w:eastAsia="標楷體"/>
          <w:sz w:val="32"/>
        </w:rPr>
        <w:t>受災致無</w:t>
      </w:r>
      <w:proofErr w:type="gramEnd"/>
      <w:r>
        <w:rPr>
          <w:rFonts w:eastAsia="標楷體"/>
          <w:sz w:val="32"/>
        </w:rPr>
        <w:t>法耕種之農業用地，經檢具村里長開立之受災證明書者。</w:t>
      </w:r>
    </w:p>
    <w:p w:rsidR="002409AB" w:rsidRDefault="00F05D9B">
      <w:pPr>
        <w:pStyle w:val="a4"/>
        <w:numPr>
          <w:ilvl w:val="0"/>
          <w:numId w:val="3"/>
        </w:numPr>
        <w:spacing w:line="560" w:lineRule="exact"/>
        <w:ind w:left="907" w:hanging="624"/>
        <w:rPr>
          <w:rFonts w:eastAsia="標楷體"/>
          <w:sz w:val="32"/>
        </w:rPr>
      </w:pPr>
      <w:r>
        <w:rPr>
          <w:rFonts w:eastAsia="標楷體"/>
          <w:sz w:val="32"/>
        </w:rPr>
        <w:lastRenderedPageBreak/>
        <w:t>其他經花蓮縣政府及</w:t>
      </w:r>
      <w:proofErr w:type="gramStart"/>
      <w:r>
        <w:rPr>
          <w:rFonts w:eastAsia="標楷體"/>
          <w:sz w:val="32"/>
        </w:rPr>
        <w:t>農糧署東區</w:t>
      </w:r>
      <w:proofErr w:type="gramEnd"/>
      <w:r>
        <w:rPr>
          <w:rFonts w:eastAsia="標楷體"/>
          <w:sz w:val="32"/>
        </w:rPr>
        <w:t>分署確認具有前款災害事實者。</w:t>
      </w:r>
    </w:p>
    <w:p w:rsidR="002409AB" w:rsidRDefault="00F05D9B">
      <w:pPr>
        <w:pStyle w:val="a4"/>
        <w:numPr>
          <w:ilvl w:val="0"/>
          <w:numId w:val="2"/>
        </w:numPr>
        <w:spacing w:line="560" w:lineRule="exact"/>
        <w:ind w:left="709" w:hanging="709"/>
      </w:pPr>
      <w:r>
        <w:rPr>
          <w:rStyle w:val="1"/>
          <w:rFonts w:eastAsia="標楷體"/>
          <w:sz w:val="32"/>
        </w:rPr>
        <w:t>本要點補助基準如下</w:t>
      </w:r>
      <w:r>
        <w:rPr>
          <w:rFonts w:eastAsia="標楷體"/>
          <w:sz w:val="32"/>
        </w:rPr>
        <w:t>：</w:t>
      </w:r>
    </w:p>
    <w:p w:rsidR="002409AB" w:rsidRDefault="00F05D9B">
      <w:pPr>
        <w:pStyle w:val="a4"/>
        <w:numPr>
          <w:ilvl w:val="0"/>
          <w:numId w:val="4"/>
        </w:numPr>
        <w:spacing w:line="560" w:lineRule="exact"/>
        <w:ind w:left="964" w:hanging="624"/>
        <w:rPr>
          <w:rFonts w:eastAsia="標楷體"/>
          <w:sz w:val="32"/>
        </w:rPr>
      </w:pPr>
      <w:proofErr w:type="gramStart"/>
      <w:r>
        <w:rPr>
          <w:rFonts w:eastAsia="標楷體"/>
          <w:sz w:val="32"/>
        </w:rPr>
        <w:t>溫網室</w:t>
      </w:r>
      <w:proofErr w:type="gramEnd"/>
      <w:r>
        <w:rPr>
          <w:rFonts w:eastAsia="標楷體"/>
          <w:sz w:val="32"/>
        </w:rPr>
        <w:t>主體結構重建及修繕：補助百分之八十；修繕限於更新部分結構零件或構件，不</w:t>
      </w:r>
      <w:proofErr w:type="gramStart"/>
      <w:r>
        <w:rPr>
          <w:rFonts w:eastAsia="標楷體"/>
          <w:sz w:val="32"/>
        </w:rPr>
        <w:t>含披覆組件</w:t>
      </w:r>
      <w:proofErr w:type="gramEnd"/>
      <w:r>
        <w:rPr>
          <w:rFonts w:eastAsia="標楷體"/>
          <w:sz w:val="32"/>
        </w:rPr>
        <w:t>更新：</w:t>
      </w:r>
    </w:p>
    <w:p w:rsidR="002409AB" w:rsidRDefault="00F05D9B">
      <w:pPr>
        <w:pStyle w:val="a4"/>
        <w:numPr>
          <w:ilvl w:val="0"/>
          <w:numId w:val="5"/>
        </w:numPr>
        <w:spacing w:line="560" w:lineRule="exact"/>
        <w:ind w:left="1276" w:hanging="283"/>
        <w:rPr>
          <w:rFonts w:eastAsia="標楷體"/>
          <w:sz w:val="32"/>
        </w:rPr>
      </w:pPr>
      <w:r>
        <w:rPr>
          <w:rFonts w:eastAsia="標楷體"/>
          <w:sz w:val="32"/>
        </w:rPr>
        <w:t>加強型水平棚架網室每公頃最高補助新臺幣</w:t>
      </w:r>
      <w:r>
        <w:rPr>
          <w:rFonts w:eastAsia="標楷體"/>
          <w:sz w:val="32"/>
        </w:rPr>
        <w:t>(</w:t>
      </w:r>
      <w:r>
        <w:rPr>
          <w:rFonts w:eastAsia="標楷體"/>
          <w:sz w:val="32"/>
        </w:rPr>
        <w:t>以下同</w:t>
      </w:r>
      <w:r>
        <w:rPr>
          <w:rFonts w:eastAsia="標楷體"/>
          <w:sz w:val="32"/>
        </w:rPr>
        <w:t>)</w:t>
      </w:r>
      <w:r>
        <w:rPr>
          <w:rFonts w:eastAsia="標楷體"/>
          <w:sz w:val="32"/>
        </w:rPr>
        <w:t>二百萬元；修繕每公頃最高補助八十三萬元。</w:t>
      </w:r>
    </w:p>
    <w:p w:rsidR="002409AB" w:rsidRDefault="00F05D9B">
      <w:pPr>
        <w:pStyle w:val="a4"/>
        <w:numPr>
          <w:ilvl w:val="0"/>
          <w:numId w:val="5"/>
        </w:numPr>
        <w:spacing w:line="560" w:lineRule="exact"/>
        <w:ind w:left="1276" w:hanging="283"/>
        <w:rPr>
          <w:rFonts w:eastAsia="標楷體"/>
          <w:sz w:val="32"/>
        </w:rPr>
      </w:pPr>
      <w:r>
        <w:rPr>
          <w:rFonts w:eastAsia="標楷體"/>
          <w:sz w:val="32"/>
        </w:rPr>
        <w:t>簡易式塑膠布網室每公頃最高補助七百二十萬元；修繕每公頃最高補助</w:t>
      </w:r>
      <w:proofErr w:type="gramStart"/>
      <w:r>
        <w:rPr>
          <w:rFonts w:eastAsia="標楷體"/>
          <w:sz w:val="32"/>
        </w:rPr>
        <w:t>三</w:t>
      </w:r>
      <w:proofErr w:type="gramEnd"/>
      <w:r>
        <w:rPr>
          <w:rFonts w:eastAsia="標楷體"/>
          <w:sz w:val="32"/>
        </w:rPr>
        <w:t>百萬元。</w:t>
      </w:r>
    </w:p>
    <w:p w:rsidR="002409AB" w:rsidRDefault="00F05D9B">
      <w:pPr>
        <w:pStyle w:val="a4"/>
        <w:numPr>
          <w:ilvl w:val="0"/>
          <w:numId w:val="5"/>
        </w:numPr>
        <w:spacing w:line="560" w:lineRule="exact"/>
        <w:ind w:left="1276" w:hanging="283"/>
        <w:rPr>
          <w:rFonts w:eastAsia="標楷體"/>
          <w:sz w:val="32"/>
        </w:rPr>
      </w:pPr>
      <w:r>
        <w:rPr>
          <w:rFonts w:eastAsia="標楷體"/>
          <w:sz w:val="32"/>
        </w:rPr>
        <w:t>結構型鋼骨溫室每公頃最高補助一千四百四十萬元；修繕每公頃最高補助六百萬元。</w:t>
      </w:r>
    </w:p>
    <w:p w:rsidR="002409AB" w:rsidRDefault="00F05D9B">
      <w:pPr>
        <w:pStyle w:val="a4"/>
        <w:numPr>
          <w:ilvl w:val="0"/>
          <w:numId w:val="4"/>
        </w:numPr>
        <w:spacing w:line="560" w:lineRule="exact"/>
        <w:ind w:left="1020" w:hanging="624"/>
        <w:rPr>
          <w:rFonts w:eastAsia="標楷體"/>
          <w:sz w:val="32"/>
        </w:rPr>
      </w:pPr>
      <w:r>
        <w:rPr>
          <w:rFonts w:eastAsia="標楷體"/>
          <w:sz w:val="32"/>
        </w:rPr>
        <w:t>設施內之生產設備：補助百分之五十，包括溫室環控系統、水養液供應系統、光控式電動遮蔭、</w:t>
      </w:r>
      <w:proofErr w:type="gramStart"/>
      <w:r>
        <w:rPr>
          <w:rFonts w:eastAsia="標楷體"/>
          <w:sz w:val="32"/>
        </w:rPr>
        <w:t>微霧降溫</w:t>
      </w:r>
      <w:proofErr w:type="gramEnd"/>
      <w:r>
        <w:rPr>
          <w:rFonts w:eastAsia="標楷體"/>
          <w:sz w:val="32"/>
        </w:rPr>
        <w:t>系統等，如附件一。</w:t>
      </w:r>
    </w:p>
    <w:p w:rsidR="002409AB" w:rsidRDefault="00F05D9B">
      <w:pPr>
        <w:pStyle w:val="a4"/>
        <w:numPr>
          <w:ilvl w:val="0"/>
          <w:numId w:val="4"/>
        </w:numPr>
        <w:spacing w:line="560" w:lineRule="exact"/>
        <w:ind w:left="1020" w:hanging="624"/>
        <w:rPr>
          <w:rFonts w:eastAsia="標楷體"/>
          <w:sz w:val="32"/>
        </w:rPr>
      </w:pPr>
      <w:proofErr w:type="gramStart"/>
      <w:r>
        <w:rPr>
          <w:rFonts w:eastAsia="標楷體"/>
          <w:sz w:val="32"/>
        </w:rPr>
        <w:t>溫網室擋</w:t>
      </w:r>
      <w:proofErr w:type="gramEnd"/>
      <w:r>
        <w:rPr>
          <w:rFonts w:eastAsia="標楷體"/>
          <w:sz w:val="32"/>
        </w:rPr>
        <w:t>水設施：每公尺最高補助八百五十元，每零點一公頃最高補助十八點七萬元（上限二百二十公尺）。設置方式</w:t>
      </w:r>
      <w:proofErr w:type="gramStart"/>
      <w:r>
        <w:rPr>
          <w:rFonts w:eastAsia="標楷體"/>
          <w:sz w:val="32"/>
        </w:rPr>
        <w:t>結合溫網室</w:t>
      </w:r>
      <w:proofErr w:type="gramEnd"/>
      <w:r>
        <w:rPr>
          <w:rFonts w:eastAsia="標楷體"/>
          <w:sz w:val="32"/>
        </w:rPr>
        <w:t>設施或</w:t>
      </w:r>
      <w:proofErr w:type="gramStart"/>
      <w:r>
        <w:rPr>
          <w:rFonts w:eastAsia="標楷體"/>
          <w:sz w:val="32"/>
        </w:rPr>
        <w:t>位於溫網</w:t>
      </w:r>
      <w:proofErr w:type="gramEnd"/>
      <w:r>
        <w:rPr>
          <w:rFonts w:eastAsia="標楷體"/>
          <w:sz w:val="32"/>
        </w:rPr>
        <w:t>室設施</w:t>
      </w:r>
      <w:proofErr w:type="gramStart"/>
      <w:r>
        <w:rPr>
          <w:rFonts w:eastAsia="標楷體"/>
          <w:sz w:val="32"/>
        </w:rPr>
        <w:t>周圍</w:t>
      </w:r>
      <w:proofErr w:type="gramEnd"/>
      <w:r>
        <w:rPr>
          <w:rFonts w:eastAsia="標楷體"/>
          <w:sz w:val="32"/>
        </w:rPr>
        <w:t>，規格以砌磚牆或更高等</w:t>
      </w:r>
      <w:r>
        <w:rPr>
          <w:rFonts w:eastAsia="標楷體"/>
          <w:sz w:val="32"/>
        </w:rPr>
        <w:t>級固定材料（如鋼筋混凝土等），牆面厚度至少十二</w:t>
      </w:r>
      <w:proofErr w:type="gramStart"/>
      <w:r>
        <w:rPr>
          <w:rFonts w:eastAsia="標楷體"/>
          <w:sz w:val="32"/>
        </w:rPr>
        <w:t>公分</w:t>
      </w:r>
      <w:proofErr w:type="gramEnd"/>
      <w:r>
        <w:rPr>
          <w:rFonts w:eastAsia="標楷體"/>
          <w:sz w:val="32"/>
        </w:rPr>
        <w:t>、自設施地面起算六十公分至八十</w:t>
      </w:r>
      <w:proofErr w:type="gramStart"/>
      <w:r>
        <w:rPr>
          <w:rFonts w:eastAsia="標楷體"/>
          <w:sz w:val="32"/>
        </w:rPr>
        <w:t>公分</w:t>
      </w:r>
      <w:proofErr w:type="gramEnd"/>
      <w:r>
        <w:rPr>
          <w:rFonts w:eastAsia="標楷體"/>
          <w:sz w:val="32"/>
        </w:rPr>
        <w:t>，應依申請農業用地作農業設施容許使用審查辦法相關規定辦理。</w:t>
      </w:r>
    </w:p>
    <w:p w:rsidR="002409AB" w:rsidRDefault="00F05D9B">
      <w:pPr>
        <w:pStyle w:val="a4"/>
        <w:numPr>
          <w:ilvl w:val="0"/>
          <w:numId w:val="4"/>
        </w:numPr>
        <w:spacing w:line="560" w:lineRule="exact"/>
        <w:ind w:left="1020" w:hanging="624"/>
        <w:rPr>
          <w:rFonts w:eastAsia="標楷體"/>
          <w:sz w:val="32"/>
        </w:rPr>
      </w:pPr>
      <w:proofErr w:type="gramStart"/>
      <w:r>
        <w:rPr>
          <w:rFonts w:eastAsia="標楷體"/>
          <w:sz w:val="32"/>
        </w:rPr>
        <w:t>披覆組件</w:t>
      </w:r>
      <w:proofErr w:type="gramEnd"/>
      <w:r>
        <w:rPr>
          <w:rFonts w:eastAsia="標楷體"/>
          <w:sz w:val="32"/>
        </w:rPr>
        <w:t>更新：補助百分之五十，塑膠布（網）整組更換每公頃最高補助一百五十萬元、防蟲網更換每公頃最高補助二十萬元。</w:t>
      </w:r>
    </w:p>
    <w:p w:rsidR="002409AB" w:rsidRDefault="00F05D9B">
      <w:pPr>
        <w:pStyle w:val="a4"/>
        <w:numPr>
          <w:ilvl w:val="0"/>
          <w:numId w:val="4"/>
        </w:numPr>
        <w:spacing w:line="560" w:lineRule="exact"/>
        <w:ind w:left="1020" w:hanging="624"/>
        <w:rPr>
          <w:rFonts w:eastAsia="標楷體"/>
          <w:sz w:val="32"/>
        </w:rPr>
      </w:pPr>
      <w:proofErr w:type="gramStart"/>
      <w:r>
        <w:rPr>
          <w:rFonts w:eastAsia="標楷體"/>
          <w:sz w:val="32"/>
        </w:rPr>
        <w:t>依鄉</w:t>
      </w:r>
      <w:proofErr w:type="gramEnd"/>
      <w:r>
        <w:rPr>
          <w:rFonts w:eastAsia="標楷體"/>
          <w:sz w:val="32"/>
        </w:rPr>
        <w:t>(</w:t>
      </w:r>
      <w:r>
        <w:rPr>
          <w:rFonts w:eastAsia="標楷體"/>
          <w:sz w:val="32"/>
        </w:rPr>
        <w:t>鎮、市、區</w:t>
      </w:r>
      <w:r>
        <w:rPr>
          <w:rFonts w:eastAsia="標楷體"/>
          <w:sz w:val="32"/>
        </w:rPr>
        <w:t>)</w:t>
      </w:r>
      <w:r>
        <w:rPr>
          <w:rFonts w:eastAsia="標楷體"/>
          <w:sz w:val="32"/>
        </w:rPr>
        <w:t>公所核發之災害審核通知核定面積為原則，超過部分比照智能防災設施型農業計畫辦理。</w:t>
      </w:r>
    </w:p>
    <w:p w:rsidR="002409AB" w:rsidRDefault="00F05D9B">
      <w:pPr>
        <w:pStyle w:val="a4"/>
        <w:numPr>
          <w:ilvl w:val="0"/>
          <w:numId w:val="2"/>
        </w:numPr>
        <w:spacing w:line="560" w:lineRule="exact"/>
        <w:ind w:left="709" w:hanging="709"/>
        <w:rPr>
          <w:rFonts w:eastAsia="標楷體"/>
          <w:sz w:val="32"/>
        </w:rPr>
      </w:pPr>
      <w:proofErr w:type="gramStart"/>
      <w:r>
        <w:rPr>
          <w:rFonts w:eastAsia="標楷體"/>
          <w:sz w:val="32"/>
        </w:rPr>
        <w:lastRenderedPageBreak/>
        <w:t>申請溫網室</w:t>
      </w:r>
      <w:proofErr w:type="gramEnd"/>
      <w:r>
        <w:rPr>
          <w:rFonts w:eastAsia="標楷體"/>
          <w:sz w:val="32"/>
        </w:rPr>
        <w:t>設施重建與修繕應填寫申請表及相關證明文件向鄉、鎮、市、區、地區、縣級等農會或</w:t>
      </w:r>
      <w:proofErr w:type="gramStart"/>
      <w:r>
        <w:rPr>
          <w:rFonts w:eastAsia="標楷體"/>
          <w:sz w:val="32"/>
        </w:rPr>
        <w:t>農糧署授</w:t>
      </w:r>
      <w:proofErr w:type="gramEnd"/>
      <w:r>
        <w:rPr>
          <w:rFonts w:eastAsia="標楷體"/>
          <w:sz w:val="32"/>
        </w:rPr>
        <w:t>權受理之農民團體提出申請。</w:t>
      </w:r>
    </w:p>
    <w:p w:rsidR="002409AB" w:rsidRDefault="00F05D9B">
      <w:pPr>
        <w:pStyle w:val="a4"/>
        <w:numPr>
          <w:ilvl w:val="0"/>
          <w:numId w:val="2"/>
        </w:numPr>
        <w:spacing w:line="560" w:lineRule="exact"/>
        <w:ind w:left="709" w:hanging="709"/>
        <w:rPr>
          <w:rFonts w:eastAsia="標楷體"/>
          <w:sz w:val="32"/>
        </w:rPr>
      </w:pPr>
      <w:r>
        <w:rPr>
          <w:rFonts w:eastAsia="標楷體"/>
          <w:sz w:val="32"/>
        </w:rPr>
        <w:t>申請案件有下列情形之</w:t>
      </w:r>
      <w:proofErr w:type="gramStart"/>
      <w:r>
        <w:rPr>
          <w:rFonts w:eastAsia="標楷體"/>
          <w:sz w:val="32"/>
        </w:rPr>
        <w:t>一</w:t>
      </w:r>
      <w:proofErr w:type="gramEnd"/>
      <w:r>
        <w:rPr>
          <w:rFonts w:eastAsia="標楷體"/>
          <w:sz w:val="32"/>
        </w:rPr>
        <w:t>者，不予受理</w:t>
      </w:r>
      <w:r>
        <w:rPr>
          <w:rFonts w:eastAsia="標楷體"/>
          <w:sz w:val="32"/>
        </w:rPr>
        <w:t>：</w:t>
      </w:r>
    </w:p>
    <w:p w:rsidR="002409AB" w:rsidRDefault="00F05D9B">
      <w:pPr>
        <w:pStyle w:val="a4"/>
        <w:numPr>
          <w:ilvl w:val="0"/>
          <w:numId w:val="6"/>
        </w:numPr>
        <w:spacing w:line="560" w:lineRule="exact"/>
        <w:ind w:left="1077" w:hanging="567"/>
      </w:pPr>
      <w:r>
        <w:rPr>
          <w:rStyle w:val="1"/>
          <w:rFonts w:eastAsia="標楷體"/>
          <w:sz w:val="32"/>
        </w:rPr>
        <w:t>未於第四點所定受理期限提出申請。</w:t>
      </w:r>
    </w:p>
    <w:p w:rsidR="002409AB" w:rsidRDefault="00F05D9B">
      <w:pPr>
        <w:pStyle w:val="a4"/>
        <w:numPr>
          <w:ilvl w:val="0"/>
          <w:numId w:val="6"/>
        </w:numPr>
        <w:spacing w:line="560" w:lineRule="exact"/>
        <w:ind w:left="1134" w:hanging="567"/>
      </w:pPr>
      <w:r>
        <w:rPr>
          <w:rStyle w:val="1"/>
          <w:rFonts w:ascii="標楷體" w:eastAsia="標楷體" w:hAnsi="標楷體"/>
          <w:sz w:val="32"/>
        </w:rPr>
        <w:t>未依前點規定檢附相關文件ヽ資料，經通知限期補正，屆期未補正或補正未完全。</w:t>
      </w:r>
    </w:p>
    <w:p w:rsidR="002409AB" w:rsidRDefault="00F05D9B">
      <w:pPr>
        <w:pStyle w:val="a4"/>
        <w:numPr>
          <w:ilvl w:val="0"/>
          <w:numId w:val="2"/>
        </w:numPr>
        <w:spacing w:line="560" w:lineRule="exact"/>
        <w:ind w:left="709" w:hanging="709"/>
        <w:rPr>
          <w:rFonts w:eastAsia="標楷體"/>
          <w:sz w:val="32"/>
        </w:rPr>
      </w:pPr>
      <w:r>
        <w:rPr>
          <w:rFonts w:eastAsia="標楷體"/>
          <w:sz w:val="32"/>
        </w:rPr>
        <w:t>本要點執行作業流程、查驗、撥款等事項，詳附件二。</w:t>
      </w:r>
    </w:p>
    <w:p w:rsidR="002409AB" w:rsidRDefault="00F05D9B">
      <w:pPr>
        <w:pStyle w:val="a4"/>
        <w:numPr>
          <w:ilvl w:val="0"/>
          <w:numId w:val="2"/>
        </w:numPr>
        <w:spacing w:line="560" w:lineRule="exact"/>
        <w:ind w:left="709" w:hanging="709"/>
      </w:pPr>
      <w:r>
        <w:rPr>
          <w:rFonts w:eastAsia="標楷體"/>
          <w:sz w:val="32"/>
        </w:rPr>
        <w:t>本要點所需經費，由本部編列預算支應。</w:t>
      </w:r>
    </w:p>
    <w:sectPr w:rsidR="002409AB">
      <w:footerReference w:type="default" r:id="rId7"/>
      <w:pgSz w:w="11906" w:h="16838"/>
      <w:pgMar w:top="720" w:right="1418" w:bottom="1418" w:left="1701" w:header="720" w:footer="720" w:gutter="0"/>
      <w:cols w:space="720"/>
      <w:docGrid w:type="lines" w:linePitch="6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D9B" w:rsidRDefault="00F05D9B">
      <w:r>
        <w:separator/>
      </w:r>
    </w:p>
  </w:endnote>
  <w:endnote w:type="continuationSeparator" w:id="0">
    <w:p w:rsidR="00F05D9B" w:rsidRDefault="00F0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文鼎中明">
    <w:charset w:val="00"/>
    <w:family w:val="modern"/>
    <w:pitch w:val="fixed"/>
  </w:font>
  <w:font w:name="新細明體">
    <w:altName w:val="PMingLiU"/>
    <w:panose1 w:val="02020500000000000000"/>
    <w:charset w:val="88"/>
    <w:family w:val="roman"/>
    <w:pitch w:val="variable"/>
    <w:sig w:usb0="A00002FF" w:usb1="28CFFCFA" w:usb2="00000016" w:usb3="00000000" w:csb0="00100001" w:csb1="00000000"/>
  </w:font>
  <w:font w:name="華康粗明體">
    <w:charset w:val="00"/>
    <w:family w:val="modern"/>
    <w:pitch w:val="fixe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7D" w:rsidRDefault="00F05D9B">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rsidR="00602A7D" w:rsidRDefault="00F05D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D9B" w:rsidRDefault="00F05D9B">
      <w:r>
        <w:rPr>
          <w:color w:val="000000"/>
        </w:rPr>
        <w:separator/>
      </w:r>
    </w:p>
  </w:footnote>
  <w:footnote w:type="continuationSeparator" w:id="0">
    <w:p w:rsidR="00F05D9B" w:rsidRDefault="00F05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20C"/>
    <w:multiLevelType w:val="multilevel"/>
    <w:tmpl w:val="60BA1860"/>
    <w:lvl w:ilvl="0">
      <w:start w:val="1"/>
      <w:numFmt w:val="japaneseCounting"/>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1" w15:restartNumberingAfterBreak="0">
    <w:nsid w:val="4AA909F2"/>
    <w:multiLevelType w:val="multilevel"/>
    <w:tmpl w:val="71147514"/>
    <w:lvl w:ilvl="0">
      <w:start w:val="1"/>
      <w:numFmt w:val="japaneseCounting"/>
      <w:lvlText w:val="(%1)"/>
      <w:lvlJc w:val="left"/>
      <w:pPr>
        <w:ind w:left="1189" w:hanging="480"/>
      </w:pPr>
      <w:rPr>
        <w:rFonts w:ascii="標楷體" w:eastAsia="標楷體" w:hAnsi="標楷體"/>
        <w:sz w:val="28"/>
        <w:szCs w:val="32"/>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2" w15:restartNumberingAfterBreak="0">
    <w:nsid w:val="4BCA3A45"/>
    <w:multiLevelType w:val="multilevel"/>
    <w:tmpl w:val="3F9222D0"/>
    <w:lvl w:ilvl="0">
      <w:start w:val="1"/>
      <w:numFmt w:val="japaneseCounting"/>
      <w:lvlText w:val="%1、"/>
      <w:lvlJc w:val="left"/>
      <w:pPr>
        <w:ind w:left="480" w:hanging="480"/>
      </w:pPr>
      <w:rPr>
        <w:rFonts w:ascii="標楷體" w:eastAsia="標楷體" w:hAnsi="標楷體"/>
        <w:sz w:val="32"/>
        <w:szCs w:val="3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DDB7F81"/>
    <w:multiLevelType w:val="multilevel"/>
    <w:tmpl w:val="AAD43008"/>
    <w:styleLink w:val="LFO1"/>
    <w:lvl w:ilvl="0">
      <w:numFmt w:val="bullet"/>
      <w:pStyle w:val="a"/>
      <w:lvlText w:val=""/>
      <w:lvlJc w:val="left"/>
      <w:pPr>
        <w:ind w:left="1816" w:hanging="114"/>
      </w:pPr>
      <w:rPr>
        <w:rFonts w:ascii="Wingdings" w:eastAsia="文鼎中明" w:hAnsi="Wingdings"/>
        <w:sz w:val="24"/>
      </w:rPr>
    </w:lvl>
    <w:lvl w:ilvl="1">
      <w:numFmt w:val="bullet"/>
      <w:lvlText w:val=""/>
      <w:lvlJc w:val="left"/>
      <w:pPr>
        <w:ind w:left="3245" w:hanging="480"/>
      </w:pPr>
      <w:rPr>
        <w:rFonts w:ascii="Wingdings" w:hAnsi="Wingdings"/>
      </w:rPr>
    </w:lvl>
    <w:lvl w:ilvl="2">
      <w:numFmt w:val="bullet"/>
      <w:lvlText w:val=""/>
      <w:lvlJc w:val="left"/>
      <w:pPr>
        <w:ind w:left="3725" w:hanging="480"/>
      </w:pPr>
      <w:rPr>
        <w:rFonts w:ascii="Wingdings" w:hAnsi="Wingdings"/>
      </w:rPr>
    </w:lvl>
    <w:lvl w:ilvl="3">
      <w:numFmt w:val="bullet"/>
      <w:lvlText w:val=""/>
      <w:lvlJc w:val="left"/>
      <w:pPr>
        <w:ind w:left="4205" w:hanging="480"/>
      </w:pPr>
      <w:rPr>
        <w:rFonts w:ascii="Wingdings" w:hAnsi="Wingdings"/>
      </w:rPr>
    </w:lvl>
    <w:lvl w:ilvl="4">
      <w:numFmt w:val="bullet"/>
      <w:lvlText w:val=""/>
      <w:lvlJc w:val="left"/>
      <w:pPr>
        <w:ind w:left="4685" w:hanging="480"/>
      </w:pPr>
      <w:rPr>
        <w:rFonts w:ascii="Wingdings" w:hAnsi="Wingdings"/>
      </w:rPr>
    </w:lvl>
    <w:lvl w:ilvl="5">
      <w:numFmt w:val="bullet"/>
      <w:lvlText w:val=""/>
      <w:lvlJc w:val="left"/>
      <w:pPr>
        <w:ind w:left="5165" w:hanging="480"/>
      </w:pPr>
      <w:rPr>
        <w:rFonts w:ascii="Wingdings" w:hAnsi="Wingdings"/>
      </w:rPr>
    </w:lvl>
    <w:lvl w:ilvl="6">
      <w:numFmt w:val="bullet"/>
      <w:lvlText w:val=""/>
      <w:lvlJc w:val="left"/>
      <w:pPr>
        <w:ind w:left="5645" w:hanging="480"/>
      </w:pPr>
      <w:rPr>
        <w:rFonts w:ascii="Wingdings" w:hAnsi="Wingdings"/>
      </w:rPr>
    </w:lvl>
    <w:lvl w:ilvl="7">
      <w:numFmt w:val="bullet"/>
      <w:lvlText w:val=""/>
      <w:lvlJc w:val="left"/>
      <w:pPr>
        <w:ind w:left="6125" w:hanging="480"/>
      </w:pPr>
      <w:rPr>
        <w:rFonts w:ascii="Wingdings" w:hAnsi="Wingdings"/>
      </w:rPr>
    </w:lvl>
    <w:lvl w:ilvl="8">
      <w:numFmt w:val="bullet"/>
      <w:lvlText w:val=""/>
      <w:lvlJc w:val="left"/>
      <w:pPr>
        <w:ind w:left="6605" w:hanging="480"/>
      </w:pPr>
      <w:rPr>
        <w:rFonts w:ascii="Wingdings" w:hAnsi="Wingdings"/>
      </w:rPr>
    </w:lvl>
  </w:abstractNum>
  <w:abstractNum w:abstractNumId="4" w15:restartNumberingAfterBreak="0">
    <w:nsid w:val="56BB079C"/>
    <w:multiLevelType w:val="multilevel"/>
    <w:tmpl w:val="2DFC6818"/>
    <w:lvl w:ilvl="0">
      <w:start w:val="1"/>
      <w:numFmt w:val="decimal"/>
      <w:lvlText w:val="%1."/>
      <w:lvlJc w:val="left"/>
      <w:pPr>
        <w:ind w:left="1669" w:hanging="48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5" w15:restartNumberingAfterBreak="0">
    <w:nsid w:val="6ADB152B"/>
    <w:multiLevelType w:val="multilevel"/>
    <w:tmpl w:val="A56A4E6E"/>
    <w:lvl w:ilvl="0">
      <w:start w:val="1"/>
      <w:numFmt w:val="japaneseCounting"/>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09AB"/>
    <w:rsid w:val="002409AB"/>
    <w:rsid w:val="00A804E8"/>
    <w:rsid w:val="00F05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D3CB92-FA4A-4AA6-B214-3CCF48C2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customStyle="1" w:styleId="a4">
    <w:name w:val="一"/>
    <w:basedOn w:val="Textbody"/>
    <w:pPr>
      <w:spacing w:line="340" w:lineRule="exact"/>
      <w:ind w:left="200" w:hanging="200"/>
      <w:jc w:val="both"/>
    </w:pPr>
    <w:rPr>
      <w:sz w:val="22"/>
    </w:rPr>
  </w:style>
  <w:style w:type="paragraph" w:customStyle="1" w:styleId="a5">
    <w:name w:val="(一)"/>
    <w:basedOn w:val="Textbody"/>
    <w:pPr>
      <w:spacing w:line="340" w:lineRule="exact"/>
      <w:ind w:left="500" w:hanging="300"/>
      <w:jc w:val="both"/>
    </w:pPr>
    <w:rPr>
      <w:sz w:val="22"/>
    </w:rPr>
  </w:style>
  <w:style w:type="paragraph" w:customStyle="1" w:styleId="a6">
    <w:name w:val="說明"/>
    <w:basedOn w:val="Textbody"/>
    <w:pPr>
      <w:tabs>
        <w:tab w:val="left" w:pos="1650"/>
      </w:tabs>
      <w:spacing w:line="340" w:lineRule="exact"/>
      <w:ind w:left="400" w:hanging="400"/>
      <w:jc w:val="both"/>
    </w:pPr>
    <w:rPr>
      <w:sz w:val="22"/>
    </w:rPr>
  </w:style>
  <w:style w:type="paragraph" w:customStyle="1" w:styleId="a">
    <w:name w:val="黑點"/>
    <w:basedOn w:val="Textbody"/>
    <w:pPr>
      <w:numPr>
        <w:numId w:val="1"/>
      </w:numPr>
      <w:tabs>
        <w:tab w:val="left" w:pos="-31680"/>
        <w:tab w:val="left" w:pos="-31680"/>
      </w:tabs>
      <w:spacing w:line="340" w:lineRule="exact"/>
      <w:jc w:val="both"/>
    </w:pPr>
    <w:rPr>
      <w:sz w:val="22"/>
    </w:rPr>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customStyle="1" w:styleId="a9">
    <w:name w:val="大標"/>
    <w:basedOn w:val="Textbody"/>
    <w:pPr>
      <w:spacing w:after="50" w:line="520" w:lineRule="exact"/>
      <w:ind w:left="200" w:hanging="200"/>
      <w:jc w:val="both"/>
    </w:pPr>
    <w:rPr>
      <w:rFonts w:eastAsia="華康粗明體"/>
      <w:sz w:val="28"/>
    </w:rPr>
  </w:style>
  <w:style w:type="paragraph" w:styleId="aa">
    <w:name w:val="Body Text Indent"/>
    <w:basedOn w:val="Textbody"/>
    <w:pPr>
      <w:spacing w:line="340" w:lineRule="exact"/>
      <w:ind w:left="660" w:hanging="660"/>
      <w:jc w:val="both"/>
    </w:pPr>
    <w:rPr>
      <w:sz w:val="22"/>
    </w:rPr>
  </w:style>
  <w:style w:type="paragraph" w:styleId="ab">
    <w:name w:val="List Paragraph"/>
    <w:basedOn w:val="Textbody"/>
    <w:pPr>
      <w:ind w:left="480"/>
    </w:pPr>
  </w:style>
  <w:style w:type="character" w:customStyle="1" w:styleId="ac">
    <w:name w:val="頁首 字元"/>
    <w:rPr>
      <w:kern w:val="3"/>
    </w:rPr>
  </w:style>
  <w:style w:type="character" w:customStyle="1" w:styleId="ad">
    <w:name w:val="頁尾 字元"/>
    <w:rPr>
      <w:kern w:val="3"/>
    </w:rPr>
  </w:style>
  <w:style w:type="character" w:customStyle="1" w:styleId="ae">
    <w:name w:val="本文縮排 字元"/>
    <w:basedOn w:val="a1"/>
    <w:rPr>
      <w:kern w:val="3"/>
      <w:sz w:val="22"/>
      <w:szCs w:val="24"/>
    </w:rPr>
  </w:style>
  <w:style w:type="character" w:customStyle="1" w:styleId="1">
    <w:name w:val="預設段落字型1"/>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Words>
  <Characters>1073</Characters>
  <Application>Microsoft Office Word</Application>
  <DocSecurity>0</DocSecurity>
  <Lines>8</Lines>
  <Paragraphs>2</Paragraphs>
  <ScaleCrop>false</ScaleCrop>
  <Company>HPM</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行政規則格式</dc:title>
  <dc:creator>LA6027</dc:creator>
  <cp:lastModifiedBy>甘月曲</cp:lastModifiedBy>
  <cp:revision>2</cp:revision>
  <cp:lastPrinted>2025-10-13T07:37:00Z</cp:lastPrinted>
  <dcterms:created xsi:type="dcterms:W3CDTF">2025-11-18T01:14:00Z</dcterms:created>
  <dcterms:modified xsi:type="dcterms:W3CDTF">2025-11-18T01:14:00Z</dcterms:modified>
</cp:coreProperties>
</file>